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45A5" w:rsidRPr="00844CEE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val="ru-RU" w:eastAsia="ru-RU"/>
        </w:rPr>
      </w:pPr>
      <w:bookmarkStart w:id="0" w:name="_Hlk166174507"/>
      <w:r w:rsidRPr="00844CEE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A5" w:rsidRPr="00844CEE" w:rsidRDefault="00B645A5" w:rsidP="00B645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val="ru-RU" w:eastAsia="ru-RU"/>
        </w:rPr>
      </w:pPr>
    </w:p>
    <w:p w:rsidR="00B645A5" w:rsidRPr="00844CEE" w:rsidRDefault="00B645A5" w:rsidP="00B645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44C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ГОРОДОЦЬКА СІЛЬСЬКА РАДА</w:t>
      </w:r>
    </w:p>
    <w:p w:rsidR="00B645A5" w:rsidRPr="00844CEE" w:rsidRDefault="00B645A5" w:rsidP="00B645A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 w:eastAsia="ru-RU"/>
        </w:rPr>
      </w:pPr>
      <w:r w:rsidRPr="00844CEE">
        <w:rPr>
          <w:rFonts w:ascii="Times New Roman" w:hAnsi="Times New Roman"/>
          <w:b/>
          <w:sz w:val="28"/>
          <w:szCs w:val="28"/>
          <w:lang w:val="ru-RU" w:eastAsia="ru-RU"/>
        </w:rPr>
        <w:t>РІВНЕНСЬКОГО РАЙОНУ РІВНЕНСЬКОЇ ОБЛАСТІ</w:t>
      </w:r>
    </w:p>
    <w:p w:rsidR="00B645A5" w:rsidRPr="00844CEE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Восьме</w:t>
      </w:r>
      <w:proofErr w:type="spellEnd"/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B645A5" w:rsidRPr="00844CEE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(____________________ </w:t>
      </w:r>
      <w:proofErr w:type="spellStart"/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сесія</w:t>
      </w:r>
      <w:proofErr w:type="spellEnd"/>
      <w:r w:rsidRPr="00844CE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)</w:t>
      </w:r>
    </w:p>
    <w:p w:rsidR="00B645A5" w:rsidRPr="00844CEE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B645A5" w:rsidRPr="00844CEE" w:rsidRDefault="00B645A5" w:rsidP="00B645A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844CE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Р І Ш Е Н </w:t>
      </w:r>
      <w:proofErr w:type="spellStart"/>
      <w:r w:rsidRPr="00844CE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Н</w:t>
      </w:r>
      <w:proofErr w:type="spellEnd"/>
      <w:r w:rsidRPr="00844CE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Я</w:t>
      </w:r>
      <w:r w:rsidR="003E426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(ПРОЄКТ)</w:t>
      </w:r>
    </w:p>
    <w:p w:rsidR="00B645A5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B645A5" w:rsidRPr="00844CEE" w:rsidRDefault="00E866C0" w:rsidP="00B645A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 w:eastAsia="ar-SA"/>
        </w:rPr>
        <w:t xml:space="preserve">23 червня </w:t>
      </w:r>
      <w:bookmarkStart w:id="1" w:name="_GoBack"/>
      <w:bookmarkEnd w:id="1"/>
      <w:r w:rsidR="00B645A5" w:rsidRPr="00844CEE">
        <w:rPr>
          <w:rFonts w:ascii="Times New Roman" w:eastAsia="Times New Roman" w:hAnsi="Times New Roman"/>
          <w:bCs/>
          <w:color w:val="000000"/>
          <w:sz w:val="28"/>
          <w:szCs w:val="24"/>
          <w:lang w:val="ru-RU" w:eastAsia="ar-SA"/>
        </w:rPr>
        <w:t xml:space="preserve"> 2026 року              с. Городок                </w:t>
      </w:r>
      <w:r w:rsidR="00E820B4">
        <w:rPr>
          <w:rFonts w:ascii="Times New Roman" w:eastAsia="Times New Roman" w:hAnsi="Times New Roman"/>
          <w:bCs/>
          <w:color w:val="000000"/>
          <w:sz w:val="28"/>
          <w:szCs w:val="24"/>
          <w:lang w:val="ru-RU" w:eastAsia="ar-SA"/>
        </w:rPr>
        <w:t xml:space="preserve">                        № </w:t>
      </w:r>
      <w:r w:rsidR="00A22402">
        <w:rPr>
          <w:rFonts w:ascii="Times New Roman" w:eastAsia="Times New Roman" w:hAnsi="Times New Roman"/>
          <w:bCs/>
          <w:color w:val="000000"/>
          <w:sz w:val="28"/>
          <w:szCs w:val="24"/>
          <w:lang w:val="ru-RU" w:eastAsia="ar-SA"/>
        </w:rPr>
        <w:t>48/63</w:t>
      </w:r>
    </w:p>
    <w:p w:rsidR="00B645A5" w:rsidRDefault="00B645A5" w:rsidP="00B645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645A5" w:rsidRDefault="00B645A5" w:rsidP="00B645A5">
      <w:pPr>
        <w:pStyle w:val="a3"/>
        <w:ind w:right="4676"/>
        <w:jc w:val="both"/>
        <w:rPr>
          <w:rFonts w:ascii="Times New Roman" w:hAnsi="Times New Roman"/>
          <w:b/>
          <w:sz w:val="28"/>
          <w:szCs w:val="28"/>
        </w:rPr>
      </w:pPr>
      <w:r w:rsidRPr="00BA2B90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  <w:proofErr w:type="spellStart"/>
      <w:r w:rsidRPr="00BA2B90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BA2B90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bookmarkStart w:id="2" w:name="_Hlk166174368"/>
      <w:r w:rsidRPr="008D58B5">
        <w:rPr>
          <w:rFonts w:ascii="Times New Roman" w:hAnsi="Times New Roman"/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bookmarkEnd w:id="2"/>
      <w:r w:rsidR="003E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території Городоцької сільської ради </w:t>
      </w:r>
      <w:bookmarkEnd w:id="0"/>
    </w:p>
    <w:p w:rsidR="00B645A5" w:rsidRPr="008079E5" w:rsidRDefault="00B645A5" w:rsidP="00B645A5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45A5" w:rsidRDefault="00B645A5" w:rsidP="00B645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166245685"/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земель, залучення додаткових коштів у місцевий бюджет</w:t>
      </w:r>
      <w:bookmarkEnd w:id="3"/>
      <w:r>
        <w:rPr>
          <w:rFonts w:ascii="Times New Roman" w:hAnsi="Times New Roman"/>
          <w:sz w:val="28"/>
          <w:szCs w:val="28"/>
        </w:rPr>
        <w:t xml:space="preserve">, </w:t>
      </w:r>
      <w:r w:rsidRPr="0087148B">
        <w:rPr>
          <w:rFonts w:ascii="Times New Roman" w:hAnsi="Times New Roman"/>
          <w:sz w:val="28"/>
          <w:szCs w:val="28"/>
        </w:rPr>
        <w:t xml:space="preserve">заслухавши інформацію </w:t>
      </w:r>
      <w:r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>
        <w:rPr>
          <w:rFonts w:ascii="Times New Roman" w:hAnsi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3E4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079E5">
        <w:rPr>
          <w:rFonts w:ascii="Times New Roman" w:hAnsi="Times New Roman"/>
          <w:sz w:val="28"/>
          <w:szCs w:val="28"/>
        </w:rPr>
        <w:t>ідповідно</w:t>
      </w:r>
      <w:r w:rsidR="003E426F">
        <w:rPr>
          <w:rFonts w:ascii="Times New Roman" w:hAnsi="Times New Roman"/>
          <w:sz w:val="28"/>
          <w:szCs w:val="28"/>
        </w:rPr>
        <w:t xml:space="preserve">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статей 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>12, 122, 134</w:t>
      </w:r>
      <w:r w:rsidR="003E426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 xml:space="preserve">139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224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>постанови Кабінету Міністрів України від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901E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вересня </w:t>
      </w:r>
      <w:r w:rsidRPr="008901EA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8901EA">
        <w:rPr>
          <w:rFonts w:ascii="Times New Roman" w:hAnsi="Times New Roman"/>
          <w:sz w:val="28"/>
          <w:szCs w:val="28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8901EA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8901EA">
        <w:rPr>
          <w:rFonts w:ascii="Times New Roman" w:hAnsi="Times New Roman"/>
          <w:sz w:val="28"/>
          <w:szCs w:val="28"/>
        </w:rPr>
        <w:t>, емфітевзису)»</w:t>
      </w:r>
      <w:r w:rsidRPr="008079E5">
        <w:rPr>
          <w:rFonts w:ascii="Times New Roman" w:hAnsi="Times New Roman"/>
          <w:sz w:val="28"/>
          <w:szCs w:val="28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Pr="008079E5">
        <w:rPr>
          <w:rFonts w:ascii="Times New Roman" w:hAnsi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B645A5" w:rsidRDefault="00B645A5" w:rsidP="00B645A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:rsidR="00B645A5" w:rsidRDefault="00B645A5" w:rsidP="00B645A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B645A5" w:rsidRDefault="00B645A5" w:rsidP="00B645A5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4"/>
    <w:p w:rsidR="00B645A5" w:rsidRPr="00EA4787" w:rsidRDefault="00B645A5" w:rsidP="00B645A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07723">
        <w:rPr>
          <w:rFonts w:ascii="Times New Roman" w:hAnsi="Times New Roman"/>
          <w:sz w:val="28"/>
          <w:szCs w:val="28"/>
        </w:rPr>
        <w:t xml:space="preserve">адати Городоцькій сільській раді дозвіл </w:t>
      </w:r>
      <w:r w:rsidRPr="008901EA">
        <w:rPr>
          <w:rFonts w:ascii="Times New Roman" w:hAnsi="Times New Roman"/>
          <w:sz w:val="28"/>
          <w:szCs w:val="28"/>
        </w:rPr>
        <w:t xml:space="preserve">на розроблення </w:t>
      </w:r>
      <w:bookmarkStart w:id="5" w:name="_Hlk166174438"/>
      <w:bookmarkStart w:id="6" w:name="_Hlk166245710"/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bookmarkStart w:id="7" w:name="_Hlk233210494"/>
      <w:bookmarkEnd w:id="5"/>
      <w:r w:rsidR="003E426F">
        <w:rPr>
          <w:rFonts w:ascii="Times New Roman" w:hAnsi="Times New Roman"/>
          <w:sz w:val="28"/>
          <w:szCs w:val="28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0,1960</w:t>
      </w:r>
      <w:r w:rsidR="003E426F">
        <w:rPr>
          <w:rFonts w:ascii="Times New Roman" w:hAnsi="Times New Roman"/>
          <w:sz w:val="28"/>
          <w:szCs w:val="28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9E13BA">
        <w:rPr>
          <w:rFonts w:ascii="Times New Roman" w:hAnsi="Times New Roman"/>
          <w:sz w:val="28"/>
          <w:szCs w:val="28"/>
        </w:rPr>
        <w:t>5624683300:05:009:0081</w:t>
      </w:r>
      <w:r>
        <w:rPr>
          <w:rFonts w:ascii="Times New Roman" w:hAnsi="Times New Roman"/>
          <w:sz w:val="28"/>
          <w:szCs w:val="28"/>
        </w:rPr>
        <w:t>)</w:t>
      </w:r>
      <w:bookmarkEnd w:id="7"/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lastRenderedPageBreak/>
        <w:t>енергогенеруючим блоком</w:t>
      </w:r>
      <w:r w:rsidR="003E426F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sz w:val="28"/>
          <w:szCs w:val="28"/>
        </w:rPr>
        <w:t>за рахунок земель комунальної власності на території Городоцької сільської ради Рівненського району Рівненської області</w:t>
      </w:r>
      <w:bookmarkEnd w:id="6"/>
      <w:r w:rsidRPr="00EA47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5A5" w:rsidRDefault="00B645A5" w:rsidP="00B645A5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5A5" w:rsidRPr="00B23653" w:rsidRDefault="00B645A5" w:rsidP="00B645A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723">
        <w:rPr>
          <w:rFonts w:ascii="Times New Roman" w:hAnsi="Times New Roman"/>
          <w:sz w:val="28"/>
          <w:szCs w:val="28"/>
        </w:rPr>
        <w:t xml:space="preserve">Городоцькій сільській раді замовити виготовлення </w:t>
      </w:r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r w:rsidR="003E426F">
        <w:rPr>
          <w:rFonts w:ascii="Times New Roman" w:hAnsi="Times New Roman"/>
          <w:sz w:val="28"/>
          <w:szCs w:val="28"/>
        </w:rPr>
        <w:t xml:space="preserve"> </w:t>
      </w:r>
      <w:r w:rsidRPr="00F07723">
        <w:rPr>
          <w:rFonts w:ascii="Times New Roman" w:hAnsi="Times New Roman"/>
          <w:sz w:val="28"/>
          <w:szCs w:val="28"/>
        </w:rPr>
        <w:t>в суб’єкта господарювання, що є виконавцем робіт із землеустрою відповідно до закону</w:t>
      </w:r>
      <w:r>
        <w:rPr>
          <w:rFonts w:ascii="Times New Roman" w:hAnsi="Times New Roman"/>
          <w:sz w:val="28"/>
          <w:szCs w:val="28"/>
        </w:rPr>
        <w:t>.</w:t>
      </w:r>
    </w:p>
    <w:p w:rsidR="00B645A5" w:rsidRPr="005F5BE7" w:rsidRDefault="00B645A5" w:rsidP="00B645A5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5A5" w:rsidRPr="00EC4FD2" w:rsidRDefault="00B645A5" w:rsidP="00B645A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E5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>ий</w:t>
      </w:r>
      <w:r w:rsidR="003E4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26F">
        <w:rPr>
          <w:rFonts w:ascii="Times New Roman" w:hAnsi="Times New Roman"/>
          <w:sz w:val="28"/>
          <w:szCs w:val="28"/>
        </w:rPr>
        <w:t>проє</w:t>
      </w:r>
      <w:r w:rsidRPr="008901EA">
        <w:rPr>
          <w:rFonts w:ascii="Times New Roman" w:hAnsi="Times New Roman"/>
          <w:sz w:val="28"/>
          <w:szCs w:val="28"/>
        </w:rPr>
        <w:t>кт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</w:t>
      </w:r>
      <w:r w:rsidRPr="008079E5">
        <w:rPr>
          <w:rFonts w:ascii="Times New Roman" w:hAnsi="Times New Roman"/>
          <w:sz w:val="28"/>
          <w:szCs w:val="28"/>
        </w:rPr>
        <w:t xml:space="preserve">подати на затвердження </w:t>
      </w:r>
      <w:r>
        <w:rPr>
          <w:rFonts w:ascii="Times New Roman" w:hAnsi="Times New Roman"/>
          <w:sz w:val="28"/>
          <w:szCs w:val="28"/>
        </w:rPr>
        <w:t>в установленому законодавством порядку</w:t>
      </w:r>
      <w:r w:rsidRPr="008079E5">
        <w:rPr>
          <w:rFonts w:ascii="Times New Roman" w:hAnsi="Times New Roman"/>
          <w:sz w:val="28"/>
          <w:szCs w:val="28"/>
        </w:rPr>
        <w:t>.</w:t>
      </w:r>
    </w:p>
    <w:p w:rsidR="00B645A5" w:rsidRDefault="00B645A5" w:rsidP="00B645A5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5A5" w:rsidRDefault="00B645A5" w:rsidP="00B645A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28668000"/>
      <w:bookmarkStart w:id="9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9"/>
    </w:p>
    <w:p w:rsidR="00B645A5" w:rsidRDefault="00B645A5" w:rsidP="00B645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5A5" w:rsidRDefault="00B645A5" w:rsidP="00B645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5A5" w:rsidRDefault="00B645A5" w:rsidP="00B645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5A5" w:rsidRDefault="00B645A5" w:rsidP="00B645A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</w:t>
      </w:r>
      <w:r w:rsidR="003E426F">
        <w:rPr>
          <w:rFonts w:ascii="Times New Roman" w:hAnsi="Times New Roman"/>
          <w:sz w:val="28"/>
          <w:szCs w:val="28"/>
        </w:rPr>
        <w:t xml:space="preserve">й  голова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Сергій ПОЛІЩУК</w:t>
      </w:r>
    </w:p>
    <w:p w:rsidR="00B645A5" w:rsidRDefault="00B645A5" w:rsidP="00B645A5">
      <w:pPr>
        <w:spacing w:after="0" w:line="240" w:lineRule="auto"/>
      </w:pPr>
    </w:p>
    <w:p w:rsidR="00B645A5" w:rsidRDefault="00B645A5" w:rsidP="00B645A5">
      <w:pPr>
        <w:spacing w:after="0" w:line="240" w:lineRule="auto"/>
      </w:pPr>
    </w:p>
    <w:p w:rsidR="00B645A5" w:rsidRDefault="00B645A5" w:rsidP="00B645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B645A5" w:rsidSect="00844CEE">
          <w:headerReference w:type="default" r:id="rId8"/>
          <w:pgSz w:w="11906" w:h="16838"/>
          <w:pgMar w:top="41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B645A5" w:rsidRPr="006A5F98" w:rsidRDefault="00B645A5" w:rsidP="00B64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B645A5" w:rsidRPr="006A5F98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B645A5" w:rsidRDefault="00B645A5" w:rsidP="00B645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«Про надання дозволу на розроблення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 xml:space="preserve">ля розміщення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таексплуатації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спорудпідприємств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переробної,машинобудівної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</w:p>
    <w:p w:rsidR="00B645A5" w:rsidRPr="006A5F98" w:rsidRDefault="00B645A5" w:rsidP="00B645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Pr="00EA4787">
        <w:rPr>
          <w:rFonts w:ascii="Times New Roman" w:hAnsi="Times New Roman"/>
          <w:bCs/>
          <w:sz w:val="28"/>
          <w:szCs w:val="28"/>
        </w:rPr>
        <w:t>локом</w:t>
      </w:r>
      <w:r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території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 Городоцької сільської ради»</w:t>
      </w:r>
    </w:p>
    <w:p w:rsidR="00B645A5" w:rsidRPr="006A5F98" w:rsidRDefault="00B645A5" w:rsidP="00B645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5A5" w:rsidRPr="006A5F98" w:rsidRDefault="00B645A5" w:rsidP="00B645A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645A5" w:rsidRPr="006A5F98" w:rsidRDefault="00B645A5" w:rsidP="00B645A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645A5" w:rsidRPr="006A5F98" w:rsidRDefault="00B645A5" w:rsidP="00B645A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 xml:space="preserve">З метою забезпечення ефективного використання земель, залучення додаткових коштів у місцевий бюджет планується виготовлення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9E13BA">
        <w:rPr>
          <w:rFonts w:ascii="Times New Roman" w:hAnsi="Times New Roman"/>
          <w:sz w:val="28"/>
          <w:szCs w:val="28"/>
        </w:rPr>
        <w:t>площею 0,1960  га (кадастровий номер 5624683300:05:009:0081)</w:t>
      </w:r>
      <w:bookmarkStart w:id="10" w:name="_Hlk211507487"/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237116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споруд</w:t>
      </w:r>
      <w:r w:rsidR="00237116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 xml:space="preserve">підприємств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переробної,машинобудівної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блоком</w:t>
      </w:r>
      <w:bookmarkEnd w:id="10"/>
      <w:r w:rsidRPr="006A5F98">
        <w:rPr>
          <w:rFonts w:ascii="Times New Roman" w:hAnsi="Times New Roman"/>
          <w:sz w:val="28"/>
          <w:szCs w:val="28"/>
        </w:rPr>
        <w:t>за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:rsidR="00B645A5" w:rsidRPr="006A5F98" w:rsidRDefault="00B645A5" w:rsidP="00B645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Згідно абзацу першого частини 1 статті 134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емельні ділянки державної чи комунальної власності продаються або передаються в користування (оренду,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суперфіцій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B645A5" w:rsidRPr="006A5F98" w:rsidRDefault="00B645A5" w:rsidP="00B645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1" w:name="n2885"/>
      <w:bookmarkEnd w:id="11"/>
      <w:r w:rsidRPr="006A5F98">
        <w:rPr>
          <w:rFonts w:ascii="Times New Roman" w:eastAsia="Times New Roman" w:hAnsi="Times New Roman"/>
          <w:sz w:val="28"/>
          <w:szCs w:val="28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2" w:name="n2886"/>
      <w:bookmarkEnd w:id="12"/>
      <w:r w:rsidRPr="006A5F98">
        <w:rPr>
          <w:rFonts w:ascii="Times New Roman" w:eastAsia="Times New Roman" w:hAnsi="Times New Roman"/>
          <w:sz w:val="28"/>
          <w:szCs w:val="28"/>
        </w:rPr>
        <w:t>б)  державну реєстрацію земельної ділянки;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n2887"/>
      <w:bookmarkEnd w:id="13"/>
      <w:r w:rsidRPr="006A5F98">
        <w:rPr>
          <w:rFonts w:ascii="Times New Roman" w:eastAsia="Times New Roman" w:hAnsi="Times New Roman"/>
          <w:sz w:val="28"/>
          <w:szCs w:val="28"/>
        </w:rPr>
        <w:t>в)  державну реєстрацію речового права на земельну ділянку;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4" w:name="n2888"/>
      <w:bookmarkEnd w:id="14"/>
      <w:r w:rsidRPr="006A5F98">
        <w:rPr>
          <w:rFonts w:ascii="Times New Roman" w:eastAsia="Times New Roman" w:hAnsi="Times New Roman"/>
          <w:sz w:val="28"/>
          <w:szCs w:val="28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9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5" w:name="n2889"/>
      <w:bookmarkEnd w:id="15"/>
      <w:r w:rsidRPr="006A5F98">
        <w:rPr>
          <w:rFonts w:ascii="Times New Roman" w:eastAsia="Times New Roman" w:hAnsi="Times New Roman"/>
          <w:sz w:val="28"/>
          <w:szCs w:val="28"/>
        </w:rPr>
        <w:t xml:space="preserve">ґ)  проведення експертної грошової оцінки земельної ділянки відповідно до </w:t>
      </w:r>
      <w:hyperlink r:id="rId10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6" w:name="n2890"/>
      <w:bookmarkEnd w:id="16"/>
      <w:r w:rsidRPr="006A5F98">
        <w:rPr>
          <w:rFonts w:ascii="Times New Roman" w:eastAsia="Times New Roman" w:hAnsi="Times New Roman"/>
          <w:sz w:val="28"/>
          <w:szCs w:val="28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7" w:name="n2891"/>
      <w:bookmarkEnd w:id="17"/>
      <w:r w:rsidRPr="006A5F98">
        <w:rPr>
          <w:rFonts w:ascii="Times New Roman" w:eastAsia="Times New Roman" w:hAnsi="Times New Roman"/>
          <w:sz w:val="28"/>
          <w:szCs w:val="28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1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Податковим кодексом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n3648"/>
      <w:bookmarkEnd w:id="18"/>
      <w:r w:rsidRPr="006A5F98">
        <w:rPr>
          <w:rFonts w:ascii="Times New Roman" w:eastAsia="Times New Roman" w:hAnsi="Times New Roman"/>
          <w:sz w:val="28"/>
          <w:szCs w:val="28"/>
        </w:rPr>
        <w:t>е</w:t>
      </w:r>
      <w:r w:rsidRPr="006A5F98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-1</w:t>
      </w:r>
      <w:r w:rsidRPr="006A5F98">
        <w:rPr>
          <w:rFonts w:ascii="Times New Roman" w:eastAsia="Times New Roman" w:hAnsi="Times New Roman"/>
          <w:sz w:val="28"/>
          <w:szCs w:val="28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9" w:name="n3647"/>
      <w:bookmarkEnd w:id="19"/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0" w:name="n2892"/>
      <w:bookmarkEnd w:id="20"/>
      <w:r w:rsidRPr="006A5F98">
        <w:rPr>
          <w:rFonts w:ascii="Times New Roman" w:eastAsia="Times New Roman" w:hAnsi="Times New Roman"/>
          <w:sz w:val="28"/>
          <w:szCs w:val="28"/>
        </w:rPr>
        <w:t xml:space="preserve">є)  встановлення стартової ціни продажу прав емфітевзису,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1" w:name="n2893"/>
      <w:bookmarkEnd w:id="21"/>
      <w:r w:rsidRPr="006A5F98">
        <w:rPr>
          <w:rFonts w:ascii="Times New Roman" w:eastAsia="Times New Roman" w:hAnsi="Times New Roman"/>
          <w:sz w:val="28"/>
          <w:szCs w:val="28"/>
        </w:rPr>
        <w:t>ж)  визначення дати проведення земельних торгів.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2" w:name="n1279"/>
      <w:bookmarkEnd w:id="22"/>
      <w:r w:rsidRPr="006A5F98">
        <w:rPr>
          <w:rFonts w:ascii="Times New Roman" w:eastAsia="Times New Roman" w:hAnsi="Times New Roman"/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B645A5" w:rsidRPr="006A5F98" w:rsidRDefault="00B645A5" w:rsidP="00B645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B645A5" w:rsidRPr="006A5F98" w:rsidRDefault="00B645A5" w:rsidP="00B645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r w:rsidRPr="006A5F98">
        <w:rPr>
          <w:rFonts w:ascii="Times New Roman" w:hAnsi="Times New Roman"/>
          <w:sz w:val="28"/>
          <w:szCs w:val="28"/>
        </w:rPr>
        <w:t xml:space="preserve">виготовлено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9E13BA">
        <w:rPr>
          <w:rFonts w:ascii="Times New Roman" w:hAnsi="Times New Roman"/>
          <w:sz w:val="28"/>
          <w:szCs w:val="28"/>
        </w:rPr>
        <w:t>площею 0,1960  га (кадастровий номер 5624683300:05:009:0081)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 xml:space="preserve">ля розміщення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таексплуатації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спорудпідприємств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переробної,машинобудівної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блоком</w:t>
      </w:r>
      <w:r w:rsidRPr="006A5F98">
        <w:rPr>
          <w:rFonts w:ascii="Times New Roman" w:hAnsi="Times New Roman"/>
          <w:sz w:val="28"/>
          <w:szCs w:val="28"/>
        </w:rPr>
        <w:t xml:space="preserve"> за рахунок земель сільськогосподарського призначення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5A5" w:rsidRPr="006A5F98" w:rsidRDefault="00B645A5" w:rsidP="00B645A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Правові аспекти.</w:t>
      </w:r>
    </w:p>
    <w:p w:rsidR="00B645A5" w:rsidRPr="006A5F98" w:rsidRDefault="00B645A5" w:rsidP="00B645A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на підставі статей 12, 122, 134 - 139 Земельного кодексу України, постанови Кабінету Міністрів України від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вересня 2021 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, емфітевзису)», статей 26, 59 Закону України «Про місцеве самоврядування в Україні».</w:t>
      </w:r>
    </w:p>
    <w:p w:rsidR="00B645A5" w:rsidRPr="006A5F98" w:rsidRDefault="00B645A5" w:rsidP="00B645A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B645A5" w:rsidRPr="006A5F98" w:rsidRDefault="00B645A5" w:rsidP="00B645A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lastRenderedPageBreak/>
        <w:t>Позиція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заінтересованих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органів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B645A5" w:rsidRPr="006A5F98" w:rsidRDefault="00B645A5" w:rsidP="00B645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Місцевий аспект.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6A5F98">
        <w:rPr>
          <w:sz w:val="28"/>
          <w:szCs w:val="28"/>
        </w:rPr>
        <w:t>.</w:t>
      </w:r>
    </w:p>
    <w:p w:rsidR="00B645A5" w:rsidRPr="006A5F98" w:rsidRDefault="00B645A5" w:rsidP="00B645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B645A5" w:rsidRPr="006A5F98" w:rsidRDefault="00B645A5" w:rsidP="00B645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B645A5" w:rsidRPr="006A5F98" w:rsidRDefault="00B645A5" w:rsidP="00B645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B645A5" w:rsidRPr="006A5F98" w:rsidRDefault="00B645A5" w:rsidP="00B645A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порядку, залучення додаткових коштів у місцевий бюджет.</w:t>
      </w:r>
    </w:p>
    <w:p w:rsidR="00B645A5" w:rsidRDefault="00B645A5" w:rsidP="00B645A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645A5" w:rsidRDefault="00B645A5" w:rsidP="00B645A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645A5" w:rsidRPr="00580A89" w:rsidRDefault="00B645A5" w:rsidP="00B645A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645A5" w:rsidRPr="006C06D1" w:rsidRDefault="00B645A5" w:rsidP="00B645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Начальник 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B645A5" w:rsidRDefault="00B645A5" w:rsidP="00B645A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B645A5" w:rsidRPr="002B34B0" w:rsidRDefault="00B645A5" w:rsidP="00B645A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комунального </w:t>
      </w:r>
      <w:proofErr w:type="spellStart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господарствасільської</w:t>
      </w:r>
      <w:proofErr w:type="spellEnd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ради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Тетяна ОПАНАСИК</w:t>
      </w:r>
    </w:p>
    <w:p w:rsidR="00B645A5" w:rsidRDefault="00B645A5" w:rsidP="00B645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B645A5" w:rsidRPr="00580A89" w:rsidRDefault="00B645A5" w:rsidP="00B645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Виконавець </w:t>
      </w:r>
    </w:p>
    <w:p w:rsidR="00B645A5" w:rsidRPr="00580A89" w:rsidRDefault="00B645A5" w:rsidP="00B645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головний спеціаліст землевпорядник</w:t>
      </w:r>
    </w:p>
    <w:p w:rsidR="00B645A5" w:rsidRDefault="00B645A5" w:rsidP="00B645A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архітектури</w:t>
      </w:r>
      <w:proofErr w:type="spellEnd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, земельних відносин</w:t>
      </w:r>
    </w:p>
    <w:p w:rsidR="00B645A5" w:rsidRDefault="00B645A5" w:rsidP="00B645A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 житлово-комунального господарства</w:t>
      </w:r>
    </w:p>
    <w:p w:rsidR="00B645A5" w:rsidRPr="003E426F" w:rsidRDefault="00B645A5" w:rsidP="00B645A5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сільської ради</w:t>
      </w:r>
      <w:r w:rsidR="00237116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Надія КРАСНОВА</w:t>
      </w:r>
    </w:p>
    <w:p w:rsidR="00EB5079" w:rsidRDefault="00EB5079"/>
    <w:sectPr w:rsidR="00EB5079" w:rsidSect="006A5F98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5A1" w:rsidRDefault="003135A1" w:rsidP="00D87F5A">
      <w:pPr>
        <w:spacing w:after="0" w:line="240" w:lineRule="auto"/>
      </w:pPr>
      <w:r>
        <w:separator/>
      </w:r>
    </w:p>
  </w:endnote>
  <w:endnote w:type="continuationSeparator" w:id="0">
    <w:p w:rsidR="003135A1" w:rsidRDefault="003135A1" w:rsidP="00D8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5A1" w:rsidRDefault="003135A1" w:rsidP="00D87F5A">
      <w:pPr>
        <w:spacing w:after="0" w:line="240" w:lineRule="auto"/>
      </w:pPr>
      <w:r>
        <w:separator/>
      </w:r>
    </w:p>
  </w:footnote>
  <w:footnote w:type="continuationSeparator" w:id="0">
    <w:p w:rsidR="003135A1" w:rsidRDefault="003135A1" w:rsidP="00D8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853201"/>
      <w:docPartObj>
        <w:docPartGallery w:val="Page Numbers (Top of Page)"/>
        <w:docPartUnique/>
      </w:docPartObj>
    </w:sdtPr>
    <w:sdtEndPr/>
    <w:sdtContent>
      <w:p w:rsidR="009E13BA" w:rsidRDefault="00BA155F" w:rsidP="00E50B1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EB5079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A22402" w:rsidRPr="00A22402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  <w:p w:rsidR="00265F26" w:rsidRPr="009E13BA" w:rsidRDefault="00E866C0" w:rsidP="00E50B17">
        <w:pPr>
          <w:pStyle w:val="a4"/>
          <w:jc w:val="center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8B5" w:rsidRPr="00E50B17" w:rsidRDefault="00BA155F" w:rsidP="00E50B17">
    <w:pPr>
      <w:pStyle w:val="a4"/>
      <w:jc w:val="center"/>
    </w:pPr>
    <w:r w:rsidRPr="00DA6027">
      <w:rPr>
        <w:rFonts w:ascii="Times New Roman" w:hAnsi="Times New Roman"/>
        <w:sz w:val="24"/>
        <w:szCs w:val="24"/>
      </w:rPr>
      <w:fldChar w:fldCharType="begin"/>
    </w:r>
    <w:r w:rsidR="00EB5079" w:rsidRPr="00DA6027">
      <w:rPr>
        <w:rFonts w:ascii="Times New Roman" w:hAnsi="Times New Roman"/>
        <w:sz w:val="24"/>
        <w:szCs w:val="24"/>
      </w:rPr>
      <w:instrText>PAGE   \* MERGEFORMAT</w:instrText>
    </w:r>
    <w:r w:rsidRPr="00DA6027">
      <w:rPr>
        <w:rFonts w:ascii="Times New Roman" w:hAnsi="Times New Roman"/>
        <w:sz w:val="24"/>
        <w:szCs w:val="24"/>
      </w:rPr>
      <w:fldChar w:fldCharType="separate"/>
    </w:r>
    <w:r w:rsidR="00A22402" w:rsidRPr="00A22402">
      <w:rPr>
        <w:rFonts w:ascii="Times New Roman" w:hAnsi="Times New Roman"/>
        <w:noProof/>
        <w:sz w:val="24"/>
        <w:szCs w:val="24"/>
        <w:lang w:val="ru-RU"/>
      </w:rPr>
      <w:t>2</w:t>
    </w:r>
    <w:r w:rsidRPr="00DA6027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8B5" w:rsidRDefault="00E866C0" w:rsidP="00DA60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5A5"/>
    <w:rsid w:val="00237116"/>
    <w:rsid w:val="003135A1"/>
    <w:rsid w:val="003E426F"/>
    <w:rsid w:val="00761E3C"/>
    <w:rsid w:val="00A22402"/>
    <w:rsid w:val="00B645A5"/>
    <w:rsid w:val="00BA155F"/>
    <w:rsid w:val="00D577EF"/>
    <w:rsid w:val="00D87F5A"/>
    <w:rsid w:val="00DE6F1C"/>
    <w:rsid w:val="00E820B4"/>
    <w:rsid w:val="00E866C0"/>
    <w:rsid w:val="00E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6726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5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B645A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B645A5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6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64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378-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5891</Words>
  <Characters>3359</Characters>
  <Application>Microsoft Office Word</Application>
  <DocSecurity>0</DocSecurity>
  <Lines>27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2026-06-30T14:49:00Z</cp:lastPrinted>
  <dcterms:created xsi:type="dcterms:W3CDTF">2026-06-30T11:46:00Z</dcterms:created>
  <dcterms:modified xsi:type="dcterms:W3CDTF">2026-07-02T06:21:00Z</dcterms:modified>
</cp:coreProperties>
</file>