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62C4" w:rsidRPr="000C62C4" w:rsidRDefault="000C62C4" w:rsidP="000C62C4">
      <w:pPr>
        <w:rPr>
          <w:rFonts w:ascii="Times New Roman" w:eastAsia="Times New Roman" w:hAnsi="Times New Roman" w:cs="Times New Roman"/>
          <w:bCs/>
          <w:sz w:val="28"/>
          <w:szCs w:val="28"/>
          <w:lang w:eastAsia="uk-UA"/>
        </w:rPr>
      </w:pPr>
    </w:p>
    <w:p w:rsidR="000C62C4" w:rsidRPr="000C62C4" w:rsidRDefault="000C62C4" w:rsidP="000C62C4">
      <w:pPr>
        <w:suppressAutoHyphens/>
        <w:spacing w:after="0" w:line="240" w:lineRule="auto"/>
        <w:ind w:left="6096"/>
        <w:jc w:val="both"/>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zh-CN"/>
        </w:rPr>
        <w:t>Додаток 1</w:t>
      </w:r>
    </w:p>
    <w:p w:rsidR="000C62C4" w:rsidRPr="000C62C4" w:rsidRDefault="000C62C4" w:rsidP="000C62C4">
      <w:pPr>
        <w:suppressAutoHyphens/>
        <w:spacing w:after="0" w:line="240" w:lineRule="auto"/>
        <w:ind w:left="6096"/>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 xml:space="preserve">до рішення Городоцької сільської ради </w:t>
      </w:r>
    </w:p>
    <w:p w:rsidR="000C62C4" w:rsidRPr="000C62C4" w:rsidRDefault="000C62C4" w:rsidP="000C62C4">
      <w:pPr>
        <w:suppressAutoHyphens/>
        <w:spacing w:after="0" w:line="240" w:lineRule="auto"/>
        <w:ind w:left="6096"/>
        <w:jc w:val="both"/>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07.07.2026 № 2400</w:t>
      </w:r>
    </w:p>
    <w:p w:rsidR="000C62C4" w:rsidRPr="000C62C4" w:rsidRDefault="000C62C4" w:rsidP="000C62C4">
      <w:pPr>
        <w:ind w:left="6096"/>
        <w:rPr>
          <w:rFonts w:ascii="Times New Roman" w:eastAsia="Times New Roman" w:hAnsi="Times New Roman" w:cs="Times New Roman"/>
          <w:sz w:val="28"/>
          <w:szCs w:val="28"/>
          <w:lang w:eastAsia="uk-UA"/>
        </w:rPr>
      </w:pPr>
    </w:p>
    <w:p w:rsidR="000C62C4" w:rsidRPr="000C62C4" w:rsidRDefault="000C62C4" w:rsidP="000C62C4">
      <w:pPr>
        <w:spacing w:after="0" w:line="240" w:lineRule="auto"/>
        <w:jc w:val="center"/>
        <w:rPr>
          <w:rFonts w:ascii="Times New Roman" w:eastAsia="Times New Roman" w:hAnsi="Times New Roman" w:cs="Times New Roman"/>
          <w:b/>
          <w:sz w:val="28"/>
          <w:szCs w:val="28"/>
          <w:lang w:eastAsia="uk-UA"/>
        </w:rPr>
      </w:pPr>
      <w:r w:rsidRPr="000C62C4">
        <w:rPr>
          <w:rFonts w:ascii="Times New Roman" w:eastAsia="Times New Roman" w:hAnsi="Times New Roman" w:cs="Times New Roman"/>
          <w:b/>
          <w:sz w:val="28"/>
          <w:szCs w:val="28"/>
          <w:lang w:eastAsia="uk-UA"/>
        </w:rPr>
        <w:t>ПРОГНОЗОВАНІ</w:t>
      </w:r>
    </w:p>
    <w:p w:rsidR="000C62C4" w:rsidRPr="000C62C4" w:rsidRDefault="000C62C4" w:rsidP="000C62C4">
      <w:pPr>
        <w:spacing w:after="0" w:line="240" w:lineRule="auto"/>
        <w:jc w:val="center"/>
        <w:rPr>
          <w:rFonts w:ascii="Times New Roman" w:eastAsia="Times New Roman" w:hAnsi="Times New Roman" w:cs="Times New Roman"/>
          <w:b/>
          <w:sz w:val="28"/>
          <w:szCs w:val="28"/>
          <w:lang w:eastAsia="uk-UA"/>
        </w:rPr>
      </w:pPr>
      <w:r w:rsidRPr="000C62C4">
        <w:rPr>
          <w:rFonts w:ascii="Times New Roman" w:eastAsia="Times New Roman" w:hAnsi="Times New Roman" w:cs="Times New Roman"/>
          <w:b/>
          <w:sz w:val="28"/>
          <w:szCs w:val="28"/>
          <w:lang w:eastAsia="uk-UA"/>
        </w:rPr>
        <w:t>правові, економічні наслідки та наслідки для навколишнього природного</w:t>
      </w:r>
    </w:p>
    <w:p w:rsidR="000C62C4" w:rsidRPr="000C62C4" w:rsidRDefault="000C62C4" w:rsidP="000C62C4">
      <w:pPr>
        <w:spacing w:after="0" w:line="240" w:lineRule="auto"/>
        <w:jc w:val="center"/>
        <w:rPr>
          <w:rFonts w:ascii="Times New Roman" w:eastAsia="Times New Roman" w:hAnsi="Times New Roman" w:cs="Times New Roman"/>
          <w:b/>
          <w:sz w:val="28"/>
          <w:szCs w:val="28"/>
          <w:lang w:eastAsia="uk-UA"/>
        </w:rPr>
      </w:pPr>
      <w:r w:rsidRPr="000C62C4">
        <w:rPr>
          <w:rFonts w:ascii="Times New Roman" w:eastAsia="Times New Roman" w:hAnsi="Times New Roman" w:cs="Times New Roman"/>
          <w:b/>
          <w:sz w:val="28"/>
          <w:szCs w:val="28"/>
          <w:lang w:eastAsia="uk-UA"/>
        </w:rPr>
        <w:t>середовища (у тому числі для здоров’я населення)</w:t>
      </w:r>
    </w:p>
    <w:p w:rsidR="000C62C4" w:rsidRPr="000C62C4" w:rsidRDefault="000C62C4" w:rsidP="000C62C4">
      <w:pPr>
        <w:spacing w:after="0" w:line="240" w:lineRule="auto"/>
        <w:ind w:firstLine="709"/>
        <w:jc w:val="both"/>
        <w:rPr>
          <w:rFonts w:ascii="Times New Roman" w:eastAsia="Times New Roman" w:hAnsi="Times New Roman" w:cs="Times New Roman"/>
          <w:color w:val="000000"/>
          <w:sz w:val="28"/>
          <w:szCs w:val="28"/>
          <w:lang w:eastAsia="ru-RU"/>
        </w:rPr>
      </w:pPr>
    </w:p>
    <w:p w:rsidR="000C62C4" w:rsidRPr="000C62C4" w:rsidRDefault="000C62C4" w:rsidP="000C62C4">
      <w:pPr>
        <w:spacing w:after="0" w:line="240" w:lineRule="auto"/>
        <w:ind w:firstLine="709"/>
        <w:jc w:val="both"/>
        <w:rPr>
          <w:rFonts w:ascii="Times New Roman" w:eastAsia="Times New Roman" w:hAnsi="Times New Roman" w:cs="Times New Roman"/>
          <w:color w:val="000000"/>
          <w:sz w:val="28"/>
          <w:szCs w:val="28"/>
          <w:lang w:eastAsia="ru-RU"/>
        </w:rPr>
      </w:pPr>
      <w:r w:rsidRPr="000C62C4">
        <w:rPr>
          <w:rFonts w:ascii="Times New Roman" w:eastAsia="Times New Roman" w:hAnsi="Times New Roman" w:cs="Times New Roman"/>
          <w:color w:val="000000"/>
          <w:sz w:val="28"/>
          <w:szCs w:val="28"/>
          <w:lang w:eastAsia="ru-RU"/>
        </w:rPr>
        <w:t xml:space="preserve">У відповідності до статей 19 та 21 Закону України «Про регулювання містобудівної діяльності», з метою подальшого використання для містобудівних потреб, раціонального використання території для розміщення та експлуатації неопалюваного складу для зберігання металопродукції, визначення напрямку </w:t>
      </w:r>
      <w:proofErr w:type="spellStart"/>
      <w:r w:rsidRPr="000C62C4">
        <w:rPr>
          <w:rFonts w:ascii="Times New Roman" w:eastAsia="Times New Roman" w:hAnsi="Times New Roman" w:cs="Times New Roman"/>
          <w:color w:val="000000"/>
          <w:sz w:val="28"/>
          <w:szCs w:val="28"/>
          <w:lang w:eastAsia="ru-RU"/>
        </w:rPr>
        <w:t>вулично</w:t>
      </w:r>
      <w:proofErr w:type="spellEnd"/>
      <w:r w:rsidRPr="000C62C4">
        <w:rPr>
          <w:rFonts w:ascii="Times New Roman" w:eastAsia="Times New Roman" w:hAnsi="Times New Roman" w:cs="Times New Roman"/>
          <w:color w:val="000000"/>
          <w:sz w:val="28"/>
          <w:szCs w:val="28"/>
          <w:lang w:eastAsia="ru-RU"/>
        </w:rPr>
        <w:t xml:space="preserve">-дорожньої мережі із врахуванням планувальної структури та сформованих земельних ділянок, рішенням Городоцької сільської ради Рівненського району Рівненської області від 07 липня 2026 року № 2400 «Про розроблення детального плану території», надано дозвіл на розроблення детального плану території </w:t>
      </w:r>
      <w:r w:rsidRPr="000C62C4">
        <w:rPr>
          <w:rFonts w:ascii="Times New Roman" w:eastAsia="Times New Roman" w:hAnsi="Times New Roman" w:cs="Times New Roman"/>
          <w:sz w:val="28"/>
          <w:szCs w:val="28"/>
          <w:lang w:eastAsia="ru-RU"/>
        </w:rPr>
        <w:t>земельної ділянки з кадастровим номером 5624683300:07:027:0332 для будівництва та обслуговування будівель і споруд виробничо-складського призначення за межами населених пунктів Городоцької територіальної громади Рівненського району Рівненської області</w:t>
      </w:r>
      <w:r w:rsidRPr="000C62C4">
        <w:rPr>
          <w:rFonts w:ascii="Times New Roman" w:eastAsia="Times New Roman" w:hAnsi="Times New Roman" w:cs="Times New Roman"/>
          <w:color w:val="000000"/>
          <w:sz w:val="28"/>
          <w:szCs w:val="28"/>
          <w:lang w:eastAsia="ru-RU"/>
        </w:rPr>
        <w:t xml:space="preserve">. </w:t>
      </w:r>
      <w:r w:rsidRPr="000C62C4">
        <w:rPr>
          <w:rFonts w:ascii="Times New Roman" w:eastAsia="Times New Roman" w:hAnsi="Times New Roman" w:cs="Times New Roman"/>
          <w:sz w:val="28"/>
          <w:szCs w:val="28"/>
          <w:lang w:eastAsia="ru-RU"/>
        </w:rPr>
        <w:t xml:space="preserve">Метою прийняття рішення є розроблення містобудівної документації на місцевому рівні для подальшого використання для містобудівних потреб, раціонального використання території для розміщення та експлуатації неопалюваного складу для зберігання металопродукції, визначення напрямку </w:t>
      </w:r>
      <w:proofErr w:type="spellStart"/>
      <w:r w:rsidRPr="000C62C4">
        <w:rPr>
          <w:rFonts w:ascii="Times New Roman" w:eastAsia="Times New Roman" w:hAnsi="Times New Roman" w:cs="Times New Roman"/>
          <w:sz w:val="28"/>
          <w:szCs w:val="28"/>
          <w:lang w:eastAsia="ru-RU"/>
        </w:rPr>
        <w:t>вулично</w:t>
      </w:r>
      <w:proofErr w:type="spellEnd"/>
      <w:r w:rsidRPr="000C62C4">
        <w:rPr>
          <w:rFonts w:ascii="Times New Roman" w:eastAsia="Times New Roman" w:hAnsi="Times New Roman" w:cs="Times New Roman"/>
          <w:sz w:val="28"/>
          <w:szCs w:val="28"/>
          <w:lang w:eastAsia="ru-RU"/>
        </w:rPr>
        <w:t>-дорожньої мережі із врахуванням планувальної структури та сформованих земельних ділянок</w:t>
      </w:r>
      <w:r w:rsidRPr="000C62C4">
        <w:rPr>
          <w:rFonts w:ascii="Times New Roman" w:eastAsia="Times New Roman" w:hAnsi="Times New Roman" w:cs="Times New Roman"/>
          <w:color w:val="000000"/>
          <w:sz w:val="28"/>
          <w:szCs w:val="28"/>
          <w:lang w:eastAsia="ru-RU"/>
        </w:rPr>
        <w:t>.</w:t>
      </w:r>
    </w:p>
    <w:p w:rsidR="000C62C4" w:rsidRPr="000C62C4" w:rsidRDefault="000C62C4" w:rsidP="000C62C4">
      <w:pPr>
        <w:spacing w:line="273" w:lineRule="auto"/>
        <w:jc w:val="center"/>
        <w:rPr>
          <w:rFonts w:ascii="Times New Roman" w:eastAsia="Times New Roman" w:hAnsi="Times New Roman" w:cs="Times New Roman"/>
          <w:b/>
          <w:bCs/>
          <w:color w:val="000000"/>
          <w:sz w:val="28"/>
          <w:szCs w:val="28"/>
          <w:lang w:eastAsia="uk-UA"/>
        </w:rPr>
      </w:pPr>
      <w:bookmarkStart w:id="0" w:name="_Hlk128487140"/>
      <w:r w:rsidRPr="000C62C4">
        <w:rPr>
          <w:rFonts w:ascii="Times New Roman" w:eastAsia="Times New Roman" w:hAnsi="Times New Roman" w:cs="Times New Roman"/>
          <w:b/>
          <w:bCs/>
          <w:color w:val="000000"/>
          <w:sz w:val="28"/>
          <w:szCs w:val="28"/>
          <w:lang w:eastAsia="uk-UA"/>
        </w:rPr>
        <w:t xml:space="preserve">Перелік пропозицій щодо </w:t>
      </w:r>
      <w:proofErr w:type="spellStart"/>
      <w:r w:rsidRPr="000C62C4">
        <w:rPr>
          <w:rFonts w:ascii="Times New Roman" w:eastAsia="Times New Roman" w:hAnsi="Times New Roman" w:cs="Times New Roman"/>
          <w:b/>
          <w:bCs/>
          <w:color w:val="000000"/>
          <w:sz w:val="28"/>
          <w:szCs w:val="28"/>
          <w:lang w:eastAsia="uk-UA"/>
        </w:rPr>
        <w:t>проєктних</w:t>
      </w:r>
      <w:proofErr w:type="spellEnd"/>
      <w:r w:rsidRPr="000C62C4">
        <w:rPr>
          <w:rFonts w:ascii="Times New Roman" w:eastAsia="Times New Roman" w:hAnsi="Times New Roman" w:cs="Times New Roman"/>
          <w:b/>
          <w:bCs/>
          <w:color w:val="000000"/>
          <w:sz w:val="28"/>
          <w:szCs w:val="28"/>
          <w:lang w:eastAsia="uk-UA"/>
        </w:rPr>
        <w:t xml:space="preserve"> показників (індикаторів)</w:t>
      </w:r>
    </w:p>
    <w:tbl>
      <w:tblPr>
        <w:tblW w:w="0" w:type="auto"/>
        <w:tblCellSpacing w:w="0" w:type="dxa"/>
        <w:tblInd w:w="260" w:type="dxa"/>
        <w:tblLook w:val="0000" w:firstRow="0" w:lastRow="0" w:firstColumn="0" w:lastColumn="0" w:noHBand="0" w:noVBand="0"/>
      </w:tblPr>
      <w:tblGrid>
        <w:gridCol w:w="701"/>
        <w:gridCol w:w="3603"/>
        <w:gridCol w:w="1750"/>
        <w:gridCol w:w="1636"/>
        <w:gridCol w:w="1678"/>
      </w:tblGrid>
      <w:tr w:rsidR="000C62C4" w:rsidRPr="000C62C4" w:rsidTr="00BD4736">
        <w:trPr>
          <w:trHeight w:val="746"/>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bookmarkEnd w:id="0"/>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w:t>
            </w:r>
          </w:p>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з/п</w:t>
            </w:r>
          </w:p>
        </w:tc>
        <w:tc>
          <w:tcPr>
            <w:tcW w:w="3685"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Показники</w:t>
            </w:r>
          </w:p>
        </w:tc>
        <w:tc>
          <w:tcPr>
            <w:tcW w:w="1781"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Одиниці виміру</w:t>
            </w:r>
          </w:p>
        </w:tc>
        <w:tc>
          <w:tcPr>
            <w:tcW w:w="1644"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Стартовий рік (20__р.)</w:t>
            </w:r>
          </w:p>
        </w:tc>
        <w:tc>
          <w:tcPr>
            <w:tcW w:w="1678"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Бажане значення</w:t>
            </w:r>
          </w:p>
        </w:tc>
      </w:tr>
      <w:tr w:rsidR="000C62C4" w:rsidRPr="000C62C4" w:rsidTr="00BD4736">
        <w:trPr>
          <w:trHeight w:val="11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1.1</w:t>
            </w:r>
          </w:p>
        </w:tc>
        <w:tc>
          <w:tcPr>
            <w:tcW w:w="3685"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Створення нових робочих місць</w:t>
            </w:r>
          </w:p>
        </w:tc>
        <w:tc>
          <w:tcPr>
            <w:tcW w:w="1781"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місць</w:t>
            </w:r>
          </w:p>
        </w:tc>
        <w:tc>
          <w:tcPr>
            <w:tcW w:w="1644"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збільшення </w:t>
            </w:r>
          </w:p>
        </w:tc>
      </w:tr>
      <w:tr w:rsidR="000C62C4" w:rsidRPr="000C62C4" w:rsidTr="00BD4736">
        <w:trPr>
          <w:trHeight w:val="11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color w:val="000000"/>
                <w:sz w:val="28"/>
                <w:szCs w:val="28"/>
                <w:lang w:eastAsia="uk-UA"/>
              </w:rPr>
            </w:pPr>
            <w:r w:rsidRPr="000C62C4">
              <w:rPr>
                <w:rFonts w:ascii="Times New Roman" w:eastAsia="Times New Roman" w:hAnsi="Times New Roman" w:cs="Times New Roman"/>
                <w:color w:val="000000"/>
                <w:sz w:val="28"/>
                <w:szCs w:val="28"/>
                <w:lang w:eastAsia="uk-UA"/>
              </w:rPr>
              <w:t>1.2</w:t>
            </w:r>
          </w:p>
        </w:tc>
        <w:tc>
          <w:tcPr>
            <w:tcW w:w="3685"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Збудовані виробничі та складські будівлі</w:t>
            </w:r>
          </w:p>
        </w:tc>
        <w:tc>
          <w:tcPr>
            <w:tcW w:w="1781"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color w:val="000000"/>
                <w:sz w:val="28"/>
                <w:szCs w:val="28"/>
                <w:lang w:eastAsia="uk-UA"/>
              </w:rPr>
            </w:pPr>
            <w:r w:rsidRPr="000C62C4">
              <w:rPr>
                <w:rFonts w:ascii="Times New Roman" w:eastAsia="Times New Roman" w:hAnsi="Times New Roman" w:cs="Times New Roman"/>
                <w:color w:val="000000"/>
                <w:sz w:val="28"/>
                <w:szCs w:val="28"/>
                <w:lang w:eastAsia="uk-UA"/>
              </w:rPr>
              <w:t>м</w:t>
            </w:r>
            <w:r w:rsidRPr="000C62C4">
              <w:rPr>
                <w:rFonts w:ascii="Times New Roman" w:eastAsia="Times New Roman" w:hAnsi="Times New Roman" w:cs="Times New Roman"/>
                <w:color w:val="000000"/>
                <w:sz w:val="28"/>
                <w:szCs w:val="28"/>
                <w:vertAlign w:val="superscript"/>
                <w:lang w:eastAsia="uk-UA"/>
              </w:rPr>
              <w:t>2</w:t>
            </w:r>
          </w:p>
        </w:tc>
        <w:tc>
          <w:tcPr>
            <w:tcW w:w="1644"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збільшення</w:t>
            </w:r>
          </w:p>
        </w:tc>
      </w:tr>
      <w:tr w:rsidR="000C62C4" w:rsidRPr="000C62C4" w:rsidTr="00BD4736">
        <w:trPr>
          <w:trHeight w:val="1140"/>
          <w:tblCellSpacing w:w="0" w:type="dxa"/>
        </w:trPr>
        <w:tc>
          <w:tcPr>
            <w:tcW w:w="709" w:type="dxa"/>
            <w:tcBorders>
              <w:top w:val="single" w:sz="4" w:space="0" w:color="000000"/>
              <w:left w:val="single" w:sz="4" w:space="0" w:color="000000"/>
              <w:bottom w:val="single" w:sz="4" w:space="0" w:color="auto"/>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lastRenderedPageBreak/>
              <w:t>1.3</w:t>
            </w:r>
          </w:p>
        </w:tc>
        <w:tc>
          <w:tcPr>
            <w:tcW w:w="3685" w:type="dxa"/>
            <w:tcBorders>
              <w:top w:val="single" w:sz="4" w:space="0" w:color="000000"/>
              <w:left w:val="single" w:sz="4" w:space="0" w:color="000000"/>
              <w:bottom w:val="single" w:sz="4" w:space="0" w:color="auto"/>
              <w:right w:val="single" w:sz="4" w:space="0" w:color="000000"/>
            </w:tcBorders>
            <w:vAlign w:val="center"/>
          </w:tcPr>
          <w:p w:rsidR="000C62C4" w:rsidRPr="000C62C4" w:rsidRDefault="000C62C4" w:rsidP="000C62C4">
            <w:pP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Забезпеченість інженерно-транспортною інфраструктурою  території населеного пункту</w:t>
            </w:r>
          </w:p>
        </w:tc>
        <w:tc>
          <w:tcPr>
            <w:tcW w:w="1781" w:type="dxa"/>
            <w:tcBorders>
              <w:top w:val="single" w:sz="4" w:space="0" w:color="000000"/>
              <w:left w:val="single" w:sz="4" w:space="0" w:color="000000"/>
              <w:bottom w:val="single" w:sz="4" w:space="0" w:color="auto"/>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w:t>
            </w:r>
          </w:p>
        </w:tc>
        <w:tc>
          <w:tcPr>
            <w:tcW w:w="1644" w:type="dxa"/>
            <w:tcBorders>
              <w:top w:val="single" w:sz="4" w:space="0" w:color="000000"/>
              <w:left w:val="single" w:sz="4" w:space="0" w:color="000000"/>
              <w:bottom w:val="single" w:sz="4" w:space="0" w:color="auto"/>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color w:val="000000"/>
                <w:sz w:val="28"/>
                <w:szCs w:val="28"/>
                <w:lang w:eastAsia="uk-UA"/>
              </w:rPr>
              <w:t>-</w:t>
            </w:r>
          </w:p>
        </w:tc>
        <w:tc>
          <w:tcPr>
            <w:tcW w:w="1678" w:type="dxa"/>
            <w:tcBorders>
              <w:top w:val="single" w:sz="4" w:space="0" w:color="000000"/>
              <w:left w:val="single" w:sz="4" w:space="0" w:color="000000"/>
              <w:bottom w:val="single" w:sz="4" w:space="0" w:color="auto"/>
              <w:right w:val="single" w:sz="4" w:space="0" w:color="000000"/>
            </w:tcBorders>
            <w:vAlign w:val="center"/>
          </w:tcPr>
          <w:p w:rsidR="000C62C4" w:rsidRPr="000C62C4" w:rsidRDefault="000C62C4" w:rsidP="000C62C4">
            <w:pPr>
              <w:jc w:val="center"/>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збільшення</w:t>
            </w:r>
          </w:p>
        </w:tc>
      </w:tr>
    </w:tbl>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Прогнозовані правові наслідки:</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обов’язкове проведення громадських слухань та врахування зауважень громадськості;</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визначення санітарно-захисних зон (СЗЗ), охоронних зон, зон обмеженого користування;</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визначення граничних параметрів забудови (поверховість, щільність, відступи);</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встановлення вимог до інженерної інфраструктури, протипожежного захисту, благоустрою.</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Прогнозовані економічні наслідки:</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створення нових робочих місць, розвиток інфраструктури, надходження до місцевого бюджету;</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можливі ризики перевантаження інженерної інфраструктури, зростання вартості землі та нерухомості.</w:t>
      </w:r>
    </w:p>
    <w:p w:rsidR="000C62C4" w:rsidRPr="000C62C4" w:rsidRDefault="000C62C4" w:rsidP="000C62C4">
      <w:pPr>
        <w:pStyle w:val="a3"/>
        <w:ind w:firstLine="567"/>
        <w:jc w:val="both"/>
        <w:rPr>
          <w:rFonts w:ascii="Times New Roman" w:hAnsi="Times New Roman" w:cs="Times New Roman"/>
          <w:sz w:val="28"/>
          <w:szCs w:val="28"/>
          <w:lang w:eastAsia="uk-UA"/>
        </w:rPr>
      </w:pPr>
      <w:r w:rsidRPr="000C62C4">
        <w:rPr>
          <w:rFonts w:ascii="Times New Roman" w:hAnsi="Times New Roman" w:cs="Times New Roman"/>
          <w:sz w:val="28"/>
          <w:szCs w:val="28"/>
          <w:lang w:eastAsia="uk-UA"/>
        </w:rPr>
        <w:t>Прогнозовані наслідки для навколишнього природного середовища (у тому числі для здоров’я населення):</w:t>
      </w:r>
    </w:p>
    <w:p w:rsidR="000C62C4" w:rsidRPr="000C62C4" w:rsidRDefault="000C62C4" w:rsidP="000C62C4">
      <w:pPr>
        <w:pStyle w:val="a3"/>
        <w:ind w:firstLine="567"/>
        <w:jc w:val="both"/>
        <w:rPr>
          <w:rFonts w:ascii="Times New Roman" w:hAnsi="Times New Roman" w:cs="Times New Roman"/>
          <w:b/>
          <w:bCs/>
          <w:color w:val="000000"/>
          <w:sz w:val="28"/>
          <w:szCs w:val="28"/>
          <w:lang w:eastAsia="uk-UA"/>
        </w:rPr>
      </w:pPr>
      <w:r w:rsidRPr="000C62C4">
        <w:rPr>
          <w:rFonts w:ascii="Times New Roman" w:hAnsi="Times New Roman" w:cs="Times New Roman"/>
          <w:sz w:val="28"/>
          <w:szCs w:val="28"/>
          <w:lang w:eastAsia="uk-UA"/>
        </w:rPr>
        <w:t>можливі негативні наслідки у вигляді забруднення довкілля: викиди від транспорту та об’єктів обслуговування, підвищення шумового навантаження.</w:t>
      </w:r>
    </w:p>
    <w:p w:rsidR="000C62C4" w:rsidRPr="000C62C4" w:rsidRDefault="000C62C4" w:rsidP="000C62C4">
      <w:pPr>
        <w:pStyle w:val="a3"/>
        <w:ind w:firstLine="567"/>
        <w:jc w:val="both"/>
        <w:rPr>
          <w:rFonts w:ascii="Times New Roman" w:hAnsi="Times New Roman" w:cs="Times New Roman"/>
          <w:color w:val="000000"/>
          <w:sz w:val="28"/>
          <w:szCs w:val="28"/>
          <w:lang w:eastAsia="uk-UA"/>
        </w:rPr>
      </w:pPr>
      <w:r w:rsidRPr="000C62C4">
        <w:rPr>
          <w:rFonts w:ascii="Times New Roman" w:hAnsi="Times New Roman" w:cs="Times New Roman"/>
          <w:color w:val="000000"/>
          <w:sz w:val="28"/>
          <w:szCs w:val="28"/>
          <w:lang w:eastAsia="uk-UA"/>
        </w:rPr>
        <w:t>У разі необхідності виконання вимог статей 2 та 19 Закону України «Про регулювання містобудівної діяльності» відбуватиметься процедура стратегічної екологічної оцінки у процесі розробки Детального плану території до його затвердження у порядку, встановленому Законом України «Про стратегічну екологічну оцінку», з метою визначення, опису та оцінювання наслідків виконання документу державного планування – Детального плану території для довкілля, у тому числі для здоров’я населення, а також розроблення заходів із запобігання, зменшення та пом’якшення можливих негативних наслідків.</w:t>
      </w:r>
    </w:p>
    <w:p w:rsidR="000C62C4" w:rsidRPr="000C62C4" w:rsidRDefault="000C62C4" w:rsidP="000C62C4">
      <w:pPr>
        <w:ind w:firstLine="567"/>
        <w:jc w:val="both"/>
        <w:rPr>
          <w:rFonts w:ascii="Times New Roman" w:eastAsia="Times New Roman" w:hAnsi="Times New Roman" w:cs="Times New Roman"/>
          <w:color w:val="000000"/>
          <w:sz w:val="28"/>
          <w:szCs w:val="28"/>
          <w:lang w:eastAsia="uk-UA"/>
        </w:rPr>
      </w:pPr>
      <w:r w:rsidRPr="000C62C4">
        <w:rPr>
          <w:rFonts w:ascii="Times New Roman" w:eastAsia="Times New Roman" w:hAnsi="Times New Roman" w:cs="Times New Roman"/>
          <w:color w:val="000000"/>
          <w:sz w:val="28"/>
          <w:szCs w:val="28"/>
          <w:lang w:eastAsia="uk-UA"/>
        </w:rPr>
        <w:t>Функціональне використання території повинно забезпечити комплексність забудови, створити необхідні правові та економічні умови розвитку землекористування, попередження негативних наслідків нераціонального використання території. Такий підхід дозволить реалізувати пріоритетність екологічних аспектів, створити сприятливі передумови розвитку території Городоцької територіальної громади.</w:t>
      </w:r>
    </w:p>
    <w:p w:rsidR="000C62C4" w:rsidRPr="000C62C4" w:rsidRDefault="000C62C4" w:rsidP="000C62C4">
      <w:pPr>
        <w:ind w:firstLine="567"/>
        <w:jc w:val="both"/>
        <w:rPr>
          <w:rFonts w:ascii="Times New Roman" w:eastAsia="Times New Roman" w:hAnsi="Times New Roman" w:cs="Times New Roman"/>
          <w:color w:val="000000"/>
          <w:sz w:val="28"/>
          <w:szCs w:val="28"/>
          <w:lang w:eastAsia="uk-UA"/>
        </w:rPr>
      </w:pPr>
      <w:r w:rsidRPr="000C62C4">
        <w:rPr>
          <w:rFonts w:ascii="Times New Roman" w:eastAsia="Times New Roman" w:hAnsi="Times New Roman" w:cs="Times New Roman"/>
          <w:color w:val="000000"/>
          <w:sz w:val="28"/>
          <w:szCs w:val="28"/>
          <w:lang w:eastAsia="uk-UA"/>
        </w:rPr>
        <w:t xml:space="preserve">З метою найбільш еколого-обґрунтованого планування розміщення проектних будівель, споруд і територій у межах розробки Детального плану території буде розроблена система нормативних планувальних обмежень, яка включає в себе охоронні зони інженерних мереж, протипожежні та санітарні розриви відповідно до вимог діючих природоохоронних нормативів </w:t>
      </w:r>
      <w:r w:rsidRPr="000C62C4">
        <w:rPr>
          <w:rFonts w:ascii="Times New Roman" w:eastAsia="Times New Roman" w:hAnsi="Times New Roman" w:cs="Times New Roman"/>
          <w:color w:val="000000"/>
          <w:sz w:val="28"/>
          <w:szCs w:val="28"/>
          <w:lang w:eastAsia="uk-UA"/>
        </w:rPr>
        <w:lastRenderedPageBreak/>
        <w:t>містобудівного характеру – ДБН Б.2.2-12:2019 «Планування та забудова територій», а також враховуючи ДСН 173-96 «Державні санітарні правила планування та забудови населених пунктів».</w:t>
      </w:r>
    </w:p>
    <w:p w:rsidR="000C62C4" w:rsidRPr="000C62C4" w:rsidRDefault="000C62C4" w:rsidP="000C62C4">
      <w:pPr>
        <w:jc w:val="center"/>
        <w:rPr>
          <w:rFonts w:ascii="Times New Roman" w:eastAsia="Times New Roman" w:hAnsi="Times New Roman" w:cs="Times New Roman"/>
          <w:b/>
          <w:sz w:val="28"/>
          <w:szCs w:val="28"/>
          <w:lang w:eastAsia="uk-UA"/>
        </w:rPr>
      </w:pPr>
    </w:p>
    <w:p w:rsidR="000C62C4" w:rsidRPr="000C62C4" w:rsidRDefault="000C62C4" w:rsidP="000C62C4">
      <w:pPr>
        <w:rPr>
          <w:rFonts w:ascii="Times New Roman" w:eastAsia="Times New Roman" w:hAnsi="Times New Roman" w:cs="Times New Roman"/>
          <w:bCs/>
          <w:sz w:val="28"/>
          <w:szCs w:val="28"/>
          <w:lang w:eastAsia="uk-UA"/>
        </w:rPr>
      </w:pPr>
      <w:r w:rsidRPr="000C62C4">
        <w:rPr>
          <w:rFonts w:ascii="Times New Roman" w:eastAsia="Times New Roman" w:hAnsi="Times New Roman" w:cs="Times New Roman"/>
          <w:bCs/>
          <w:sz w:val="28"/>
          <w:szCs w:val="28"/>
          <w:lang w:eastAsia="uk-UA"/>
        </w:rPr>
        <w:t>Секретар сільської ради                                                                Людмила СПІВАК</w:t>
      </w:r>
    </w:p>
    <w:p w:rsidR="000C62C4" w:rsidRDefault="000C62C4" w:rsidP="000C62C4">
      <w:pPr>
        <w:suppressAutoHyphens/>
        <w:spacing w:after="0" w:line="240" w:lineRule="auto"/>
        <w:ind w:left="6096"/>
        <w:jc w:val="both"/>
        <w:rPr>
          <w:rFonts w:ascii="Times New Roman" w:eastAsia="Times New Roman" w:hAnsi="Times New Roman" w:cs="Times New Roman"/>
          <w:sz w:val="28"/>
          <w:szCs w:val="28"/>
          <w:lang w:eastAsia="zh-CN"/>
        </w:rPr>
      </w:pPr>
    </w:p>
    <w:p w:rsidR="000C62C4" w:rsidRPr="000C62C4" w:rsidRDefault="000C62C4" w:rsidP="000C62C4">
      <w:pPr>
        <w:suppressAutoHyphens/>
        <w:spacing w:after="0" w:line="240" w:lineRule="auto"/>
        <w:ind w:left="6096"/>
        <w:jc w:val="both"/>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zh-CN"/>
        </w:rPr>
        <w:t>Додаток 2</w:t>
      </w:r>
    </w:p>
    <w:p w:rsidR="000C62C4" w:rsidRPr="000C62C4" w:rsidRDefault="000C62C4" w:rsidP="000C62C4">
      <w:pPr>
        <w:suppressAutoHyphens/>
        <w:spacing w:after="0" w:line="240" w:lineRule="auto"/>
        <w:ind w:left="6096"/>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 xml:space="preserve">до рішення Городоцької сільської ради </w:t>
      </w:r>
    </w:p>
    <w:p w:rsidR="000C62C4" w:rsidRPr="000C62C4" w:rsidRDefault="000C62C4" w:rsidP="000C62C4">
      <w:pPr>
        <w:suppressAutoHyphens/>
        <w:spacing w:after="0" w:line="240" w:lineRule="auto"/>
        <w:ind w:left="6096"/>
        <w:jc w:val="both"/>
        <w:rPr>
          <w:rFonts w:ascii="Times New Roman" w:eastAsia="Times New Roman" w:hAnsi="Times New Roman" w:cs="Times New Roman"/>
          <w:sz w:val="28"/>
          <w:szCs w:val="28"/>
          <w:lang w:eastAsia="uk-UA"/>
        </w:rPr>
      </w:pPr>
      <w:r w:rsidRPr="000C62C4">
        <w:rPr>
          <w:rFonts w:ascii="Times New Roman" w:eastAsia="Times New Roman" w:hAnsi="Times New Roman" w:cs="Times New Roman"/>
          <w:sz w:val="28"/>
          <w:szCs w:val="28"/>
          <w:lang w:eastAsia="uk-UA"/>
        </w:rPr>
        <w:t>07.07.2026 № 2400</w:t>
      </w:r>
    </w:p>
    <w:p w:rsidR="000C62C4" w:rsidRPr="000C62C4" w:rsidRDefault="000C62C4" w:rsidP="000C62C4">
      <w:pPr>
        <w:ind w:left="6096"/>
        <w:jc w:val="both"/>
        <w:rPr>
          <w:rFonts w:ascii="Times New Roman" w:eastAsia="Times New Roman" w:hAnsi="Times New Roman" w:cs="Times New Roman"/>
          <w:bCs/>
          <w:sz w:val="28"/>
          <w:szCs w:val="28"/>
          <w:lang w:eastAsia="uk-UA"/>
        </w:rPr>
      </w:pPr>
    </w:p>
    <w:p w:rsidR="000C62C4" w:rsidRPr="000C62C4" w:rsidRDefault="000C62C4" w:rsidP="000C62C4">
      <w:pPr>
        <w:spacing w:after="0" w:line="240" w:lineRule="auto"/>
        <w:jc w:val="center"/>
        <w:rPr>
          <w:rFonts w:ascii="Times New Roman" w:eastAsia="Times New Roman" w:hAnsi="Times New Roman" w:cs="Times New Roman"/>
          <w:b/>
          <w:sz w:val="28"/>
          <w:szCs w:val="28"/>
          <w:lang w:eastAsia="uk-UA" w:bidi="uk-UA"/>
        </w:rPr>
      </w:pPr>
      <w:r w:rsidRPr="000C62C4">
        <w:rPr>
          <w:rFonts w:ascii="Times New Roman" w:eastAsia="Times New Roman" w:hAnsi="Times New Roman" w:cs="Times New Roman"/>
          <w:b/>
          <w:sz w:val="28"/>
          <w:szCs w:val="28"/>
          <w:lang w:eastAsia="uk-UA" w:bidi="uk-UA"/>
        </w:rPr>
        <w:t>СТРОКИ</w:t>
      </w:r>
    </w:p>
    <w:p w:rsidR="000C62C4" w:rsidRPr="000C62C4" w:rsidRDefault="000C62C4" w:rsidP="000C62C4">
      <w:pPr>
        <w:spacing w:after="0" w:line="240" w:lineRule="auto"/>
        <w:jc w:val="center"/>
        <w:rPr>
          <w:rFonts w:ascii="Times New Roman" w:eastAsia="Times New Roman" w:hAnsi="Times New Roman" w:cs="Times New Roman"/>
          <w:b/>
          <w:sz w:val="28"/>
          <w:szCs w:val="28"/>
          <w:lang w:eastAsia="uk-UA" w:bidi="uk-UA"/>
        </w:rPr>
      </w:pPr>
      <w:r w:rsidRPr="000C62C4">
        <w:rPr>
          <w:rFonts w:ascii="Times New Roman" w:eastAsia="Times New Roman" w:hAnsi="Times New Roman" w:cs="Times New Roman"/>
          <w:b/>
          <w:sz w:val="28"/>
          <w:szCs w:val="28"/>
          <w:lang w:eastAsia="uk-UA" w:bidi="uk-UA"/>
        </w:rPr>
        <w:t>проведення підготовчих процедур розроблення містобудівної документації</w:t>
      </w:r>
    </w:p>
    <w:p w:rsidR="000C62C4" w:rsidRPr="000C62C4" w:rsidRDefault="000C62C4" w:rsidP="000C62C4">
      <w:pPr>
        <w:spacing w:after="0" w:line="240" w:lineRule="auto"/>
        <w:jc w:val="center"/>
        <w:rPr>
          <w:rFonts w:ascii="Times New Roman" w:eastAsia="Times New Roman" w:hAnsi="Times New Roman" w:cs="Times New Roman"/>
          <w:b/>
          <w:sz w:val="28"/>
          <w:szCs w:val="28"/>
          <w:lang w:eastAsia="uk-UA"/>
        </w:rPr>
      </w:pPr>
      <w:r w:rsidRPr="000C62C4">
        <w:rPr>
          <w:rFonts w:ascii="Times New Roman" w:eastAsia="Times New Roman" w:hAnsi="Times New Roman" w:cs="Times New Roman"/>
          <w:b/>
          <w:sz w:val="28"/>
          <w:szCs w:val="28"/>
          <w:lang w:eastAsia="uk-UA" w:bidi="uk-UA"/>
        </w:rPr>
        <w:t>(детального плану території)</w:t>
      </w:r>
    </w:p>
    <w:p w:rsidR="000C62C4" w:rsidRPr="000C62C4" w:rsidRDefault="000C62C4" w:rsidP="000C62C4">
      <w:pPr>
        <w:jc w:val="both"/>
        <w:rPr>
          <w:rFonts w:ascii="Times New Roman" w:eastAsia="Times New Roman" w:hAnsi="Times New Roman" w:cs="Times New Roman"/>
          <w:bCs/>
          <w:color w:val="000000"/>
          <w:sz w:val="28"/>
          <w:szCs w:val="28"/>
          <w:lang w:eastAsia="uk-UA"/>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562"/>
        <w:gridCol w:w="12"/>
        <w:gridCol w:w="6667"/>
        <w:gridCol w:w="2184"/>
      </w:tblGrid>
      <w:tr w:rsidR="000C62C4" w:rsidRPr="000C62C4" w:rsidTr="00BD4736">
        <w:trPr>
          <w:tblCellSpacing w:w="0" w:type="dxa"/>
          <w:jc w:val="center"/>
        </w:trPr>
        <w:tc>
          <w:tcPr>
            <w:tcW w:w="574" w:type="dxa"/>
            <w:gridSpan w:val="2"/>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w:t>
            </w:r>
          </w:p>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з/п</w:t>
            </w:r>
          </w:p>
        </w:tc>
        <w:tc>
          <w:tcPr>
            <w:tcW w:w="6667"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Назва підготовчої процедури розроблення детального плану</w:t>
            </w:r>
          </w:p>
        </w:tc>
        <w:tc>
          <w:tcPr>
            <w:tcW w:w="2184"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Строк проведення (робочі дні)</w:t>
            </w:r>
          </w:p>
        </w:tc>
      </w:tr>
      <w:tr w:rsidR="000C62C4" w:rsidRPr="000C62C4" w:rsidTr="00BD4736">
        <w:trPr>
          <w:tblCellSpacing w:w="0" w:type="dxa"/>
          <w:jc w:val="center"/>
        </w:trPr>
        <w:tc>
          <w:tcPr>
            <w:tcW w:w="562"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1</w:t>
            </w:r>
          </w:p>
        </w:tc>
        <w:tc>
          <w:tcPr>
            <w:tcW w:w="6679" w:type="dxa"/>
            <w:gridSpan w:val="2"/>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2</w:t>
            </w:r>
          </w:p>
        </w:tc>
        <w:tc>
          <w:tcPr>
            <w:tcW w:w="2184"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3</w:t>
            </w:r>
          </w:p>
        </w:tc>
      </w:tr>
      <w:tr w:rsidR="000C62C4" w:rsidRPr="000C62C4" w:rsidTr="00BD4736">
        <w:trPr>
          <w:tblCellSpacing w:w="0" w:type="dxa"/>
          <w:jc w:val="center"/>
        </w:trPr>
        <w:tc>
          <w:tcPr>
            <w:tcW w:w="562"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1</w:t>
            </w:r>
          </w:p>
        </w:tc>
        <w:tc>
          <w:tcPr>
            <w:tcW w:w="6679" w:type="dxa"/>
            <w:gridSpan w:val="2"/>
            <w:vAlign w:val="center"/>
            <w:hideMark/>
          </w:tcPr>
          <w:p w:rsidR="000C62C4" w:rsidRPr="000C62C4" w:rsidRDefault="000C62C4" w:rsidP="000C62C4">
            <w:pPr>
              <w:spacing w:line="256" w:lineRule="auto"/>
              <w:ind w:right="179"/>
              <w:jc w:val="both"/>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 xml:space="preserve">Оприлюднення рішення про розроблення містобудівної документації та підстав для його прийняття </w:t>
            </w:r>
            <w:r w:rsidRPr="000C62C4">
              <w:rPr>
                <w:rFonts w:ascii="Times New Roman" w:eastAsia="Times New Roman" w:hAnsi="Times New Roman" w:cs="Times New Roman"/>
                <w:sz w:val="24"/>
                <w:szCs w:val="24"/>
                <w:lang w:eastAsia="uk-UA"/>
              </w:rPr>
              <w:t xml:space="preserve">з використанням засобів Містобудівного кадастру на державному рівні (за наявності технічної можливості), а також на офіційному </w:t>
            </w:r>
            <w:proofErr w:type="spellStart"/>
            <w:r w:rsidRPr="000C62C4">
              <w:rPr>
                <w:rFonts w:ascii="Times New Roman" w:eastAsia="Times New Roman" w:hAnsi="Times New Roman" w:cs="Times New Roman"/>
                <w:sz w:val="24"/>
                <w:szCs w:val="24"/>
                <w:lang w:eastAsia="uk-UA"/>
              </w:rPr>
              <w:t>вебсайті</w:t>
            </w:r>
            <w:proofErr w:type="spellEnd"/>
            <w:r w:rsidRPr="000C62C4">
              <w:rPr>
                <w:rFonts w:ascii="Times New Roman" w:eastAsia="Times New Roman" w:hAnsi="Times New Roman" w:cs="Times New Roman"/>
                <w:sz w:val="24"/>
                <w:szCs w:val="24"/>
                <w:lang w:eastAsia="uk-UA"/>
              </w:rPr>
              <w:t xml:space="preserve"> Городоцької сільської ради</w:t>
            </w:r>
          </w:p>
        </w:tc>
        <w:tc>
          <w:tcPr>
            <w:tcW w:w="2184"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Не пізніше 35 календарних днів з дати прийняття рішення</w:t>
            </w:r>
          </w:p>
        </w:tc>
      </w:tr>
      <w:tr w:rsidR="000C62C4" w:rsidRPr="000C62C4" w:rsidTr="000C62C4">
        <w:trPr>
          <w:trHeight w:val="1148"/>
          <w:tblCellSpacing w:w="0" w:type="dxa"/>
          <w:jc w:val="center"/>
        </w:trPr>
        <w:tc>
          <w:tcPr>
            <w:tcW w:w="562" w:type="dxa"/>
            <w:vAlign w:val="center"/>
          </w:tcPr>
          <w:p w:rsidR="000C62C4" w:rsidRPr="000C62C4" w:rsidRDefault="000C62C4" w:rsidP="000C62C4">
            <w:pPr>
              <w:spacing w:line="256" w:lineRule="auto"/>
              <w:jc w:val="center"/>
              <w:rPr>
                <w:rFonts w:ascii="Times New Roman" w:eastAsia="Times New Roman" w:hAnsi="Times New Roman" w:cs="Times New Roman"/>
                <w:color w:val="000000"/>
                <w:sz w:val="24"/>
                <w:szCs w:val="24"/>
                <w:lang w:eastAsia="uk-UA"/>
              </w:rPr>
            </w:pPr>
            <w:r w:rsidRPr="000C62C4">
              <w:rPr>
                <w:rFonts w:ascii="Times New Roman" w:eastAsia="Times New Roman" w:hAnsi="Times New Roman" w:cs="Times New Roman"/>
                <w:color w:val="000000"/>
                <w:sz w:val="24"/>
                <w:szCs w:val="24"/>
                <w:lang w:eastAsia="uk-UA"/>
              </w:rPr>
              <w:t>2</w:t>
            </w:r>
          </w:p>
        </w:tc>
        <w:tc>
          <w:tcPr>
            <w:tcW w:w="6679" w:type="dxa"/>
            <w:gridSpan w:val="2"/>
            <w:vAlign w:val="center"/>
          </w:tcPr>
          <w:p w:rsidR="000C62C4" w:rsidRPr="000C62C4" w:rsidRDefault="000C62C4" w:rsidP="000C62C4">
            <w:pPr>
              <w:spacing w:line="256" w:lineRule="auto"/>
              <w:ind w:right="179"/>
              <w:jc w:val="both"/>
              <w:rPr>
                <w:rFonts w:ascii="Times New Roman" w:eastAsia="Times New Roman" w:hAnsi="Times New Roman" w:cs="Times New Roman"/>
                <w:color w:val="000000"/>
                <w:sz w:val="24"/>
                <w:szCs w:val="24"/>
                <w:lang w:eastAsia="uk-UA"/>
              </w:rPr>
            </w:pPr>
            <w:r w:rsidRPr="000C62C4">
              <w:rPr>
                <w:rFonts w:ascii="Times New Roman" w:eastAsia="Times New Roman" w:hAnsi="Times New Roman" w:cs="Times New Roman"/>
                <w:sz w:val="24"/>
                <w:szCs w:val="24"/>
                <w:lang w:eastAsia="uk-UA"/>
              </w:rPr>
              <w:t xml:space="preserve">Початок збору вихідних даних після прийняття рішення </w:t>
            </w:r>
            <w:r w:rsidRPr="000C62C4">
              <w:rPr>
                <w:rFonts w:ascii="Times New Roman" w:eastAsia="Times New Roman" w:hAnsi="Times New Roman" w:cs="Times New Roman"/>
                <w:color w:val="000000"/>
                <w:sz w:val="24"/>
                <w:szCs w:val="24"/>
                <w:lang w:eastAsia="uk-UA"/>
              </w:rPr>
              <w:t>про розроблення</w:t>
            </w:r>
            <w:r w:rsidRPr="000C62C4">
              <w:rPr>
                <w:rFonts w:ascii="Times New Roman" w:eastAsia="Times New Roman" w:hAnsi="Times New Roman" w:cs="Times New Roman"/>
                <w:sz w:val="24"/>
                <w:szCs w:val="24"/>
                <w:lang w:eastAsia="uk-UA"/>
              </w:rPr>
              <w:t xml:space="preserve"> містобудівної документації</w:t>
            </w:r>
          </w:p>
        </w:tc>
        <w:tc>
          <w:tcPr>
            <w:tcW w:w="2184" w:type="dxa"/>
            <w:vAlign w:val="center"/>
          </w:tcPr>
          <w:p w:rsidR="000C62C4" w:rsidRPr="000C62C4" w:rsidRDefault="000C62C4" w:rsidP="000C62C4">
            <w:pPr>
              <w:spacing w:line="256" w:lineRule="auto"/>
              <w:jc w:val="center"/>
              <w:rPr>
                <w:rFonts w:ascii="Times New Roman" w:eastAsia="Times New Roman" w:hAnsi="Times New Roman" w:cs="Times New Roman"/>
                <w:color w:val="000000"/>
                <w:sz w:val="24"/>
                <w:szCs w:val="24"/>
                <w:lang w:eastAsia="uk-UA"/>
              </w:rPr>
            </w:pPr>
            <w:r w:rsidRPr="000C62C4">
              <w:rPr>
                <w:rFonts w:ascii="Times New Roman" w:eastAsia="Times New Roman" w:hAnsi="Times New Roman" w:cs="Times New Roman"/>
                <w:sz w:val="24"/>
                <w:szCs w:val="24"/>
                <w:lang w:eastAsia="uk-UA"/>
              </w:rPr>
              <w:t>Не пізніше 10 робочих днів з дати прийняття рішення</w:t>
            </w:r>
          </w:p>
        </w:tc>
      </w:tr>
      <w:tr w:rsidR="000C62C4" w:rsidRPr="000C62C4" w:rsidTr="00BD4736">
        <w:trPr>
          <w:tblCellSpacing w:w="0" w:type="dxa"/>
          <w:jc w:val="center"/>
        </w:trPr>
        <w:tc>
          <w:tcPr>
            <w:tcW w:w="562"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sz w:val="24"/>
                <w:szCs w:val="24"/>
                <w:lang w:eastAsia="uk-UA"/>
              </w:rPr>
              <w:t>3</w:t>
            </w:r>
          </w:p>
        </w:tc>
        <w:tc>
          <w:tcPr>
            <w:tcW w:w="6679" w:type="dxa"/>
            <w:gridSpan w:val="2"/>
            <w:vAlign w:val="center"/>
            <w:hideMark/>
          </w:tcPr>
          <w:p w:rsidR="000C62C4" w:rsidRPr="000C62C4" w:rsidRDefault="000C62C4" w:rsidP="000C62C4">
            <w:pPr>
              <w:spacing w:line="256" w:lineRule="auto"/>
              <w:ind w:right="179"/>
              <w:jc w:val="both"/>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Формування переліку раніше розробленої містобудівної документації, формування переліку документів державного планування, складення переліку раніше розроблених схем землеустрою і техніко-економічних обґрунтувань затверджених до прийняття рішення про розроблення детального плану території, дія яких розповсюджується на території розробки детального плану території, складення переліку намірів суб’єктів містобудівної діяльності щодо території опрацювання.</w:t>
            </w:r>
          </w:p>
        </w:tc>
        <w:tc>
          <w:tcPr>
            <w:tcW w:w="2184" w:type="dxa"/>
            <w:vAlign w:val="center"/>
            <w:hideMark/>
          </w:tcPr>
          <w:p w:rsidR="000C62C4" w:rsidRPr="000C62C4" w:rsidRDefault="000C62C4" w:rsidP="000C62C4">
            <w:pPr>
              <w:spacing w:line="256" w:lineRule="auto"/>
              <w:jc w:val="center"/>
              <w:rPr>
                <w:rFonts w:ascii="Times New Roman" w:eastAsia="Times New Roman" w:hAnsi="Times New Roman" w:cs="Times New Roman"/>
                <w:sz w:val="24"/>
                <w:szCs w:val="24"/>
                <w:lang w:eastAsia="uk-UA"/>
              </w:rPr>
            </w:pPr>
            <w:r w:rsidRPr="000C62C4">
              <w:rPr>
                <w:rFonts w:ascii="Times New Roman" w:eastAsia="Times New Roman" w:hAnsi="Times New Roman" w:cs="Times New Roman"/>
                <w:color w:val="000000"/>
                <w:sz w:val="24"/>
                <w:szCs w:val="24"/>
                <w:lang w:eastAsia="uk-UA"/>
              </w:rPr>
              <w:t>Не пізніше 35 календарних днів з дати прийняття рішення</w:t>
            </w:r>
          </w:p>
        </w:tc>
      </w:tr>
    </w:tbl>
    <w:p w:rsidR="000C62C4" w:rsidRPr="000C62C4" w:rsidRDefault="000C62C4" w:rsidP="000C62C4">
      <w:pPr>
        <w:jc w:val="center"/>
        <w:rPr>
          <w:rFonts w:ascii="Times New Roman" w:eastAsia="Times New Roman" w:hAnsi="Times New Roman" w:cs="Times New Roman"/>
          <w:b/>
          <w:sz w:val="28"/>
          <w:szCs w:val="28"/>
          <w:lang w:eastAsia="uk-UA"/>
        </w:rPr>
      </w:pPr>
    </w:p>
    <w:p w:rsidR="000C62C4" w:rsidRDefault="000C62C4" w:rsidP="000C62C4">
      <w:r w:rsidRPr="000C62C4">
        <w:rPr>
          <w:rFonts w:ascii="Times New Roman" w:eastAsia="Times New Roman" w:hAnsi="Times New Roman" w:cs="Times New Roman"/>
          <w:bCs/>
          <w:sz w:val="28"/>
          <w:szCs w:val="28"/>
          <w:lang w:eastAsia="uk-UA"/>
        </w:rPr>
        <w:t>Секретар сільської ради                                                                Людмила СПІВАК</w:t>
      </w:r>
      <w:bookmarkStart w:id="1" w:name="_GoBack"/>
      <w:bookmarkEnd w:id="1"/>
    </w:p>
    <w:sectPr w:rsidR="000C62C4" w:rsidSect="002D1FE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C4"/>
    <w:rsid w:val="000C3858"/>
    <w:rsid w:val="000C62C4"/>
    <w:rsid w:val="001F15C3"/>
    <w:rsid w:val="00237993"/>
    <w:rsid w:val="00287371"/>
    <w:rsid w:val="002D1FE3"/>
    <w:rsid w:val="00353EDC"/>
    <w:rsid w:val="009235BB"/>
    <w:rsid w:val="00984E23"/>
    <w:rsid w:val="009E7901"/>
    <w:rsid w:val="00A17DA8"/>
    <w:rsid w:val="00AB348D"/>
    <w:rsid w:val="00CB5C5B"/>
    <w:rsid w:val="00ED5D02"/>
    <w:rsid w:val="00FA57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9E2B"/>
  <w15:chartTrackingRefBased/>
  <w15:docId w15:val="{51F5B76B-2824-4645-8E0A-71D82D00B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62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3547</Words>
  <Characters>2023</Characters>
  <Application>Microsoft Office Word</Application>
  <DocSecurity>0</DocSecurity>
  <Lines>16</Lines>
  <Paragraphs>11</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Шеремета</dc:creator>
  <cp:keywords/>
  <dc:description/>
  <cp:lastModifiedBy>Сергій Шеремета</cp:lastModifiedBy>
  <cp:revision>1</cp:revision>
  <dcterms:created xsi:type="dcterms:W3CDTF">2026-07-22T12:15:00Z</dcterms:created>
  <dcterms:modified xsi:type="dcterms:W3CDTF">2026-07-22T12:16:00Z</dcterms:modified>
</cp:coreProperties>
</file>