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13" w:rsidRPr="00A71513" w:rsidRDefault="00A71513" w:rsidP="00A71513">
      <w:pPr>
        <w:ind w:left="6379"/>
        <w:jc w:val="right"/>
        <w:rPr>
          <w:rFonts w:ascii="Times New Roman" w:hAnsi="Times New Roman" w:cs="Times New Roman"/>
          <w:b/>
          <w:noProof/>
          <w:sz w:val="16"/>
          <w:szCs w:val="16"/>
        </w:rPr>
      </w:pPr>
      <w:r w:rsidRPr="00A71513">
        <w:rPr>
          <w:rFonts w:ascii="Times New Roman" w:hAnsi="Times New Roman" w:cs="Times New Roman"/>
          <w:b/>
          <w:noProof/>
          <w:sz w:val="16"/>
          <w:szCs w:val="16"/>
        </w:rPr>
        <w:t>ПРОЄКТ</w:t>
      </w:r>
    </w:p>
    <w:p w:rsidR="00A71513" w:rsidRPr="00A71513" w:rsidRDefault="00A71513" w:rsidP="00A71513">
      <w:pPr>
        <w:pStyle w:val="a8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A71513">
        <w:rPr>
          <w:rFonts w:ascii="Times New Roman" w:hAnsi="Times New Roman" w:cs="Times New Roman"/>
          <w:noProof/>
          <w:sz w:val="16"/>
          <w:szCs w:val="16"/>
        </w:rPr>
        <w:t>Начальник відділу архітектури, земельних</w:t>
      </w:r>
    </w:p>
    <w:p w:rsidR="00A71513" w:rsidRPr="00A71513" w:rsidRDefault="00A71513" w:rsidP="00A71513">
      <w:pPr>
        <w:pStyle w:val="a8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A71513">
        <w:rPr>
          <w:rFonts w:ascii="Times New Roman" w:hAnsi="Times New Roman" w:cs="Times New Roman"/>
          <w:noProof/>
          <w:sz w:val="16"/>
          <w:szCs w:val="16"/>
        </w:rPr>
        <w:t xml:space="preserve"> відносин та житлво-комунального господарства </w:t>
      </w:r>
    </w:p>
    <w:p w:rsidR="00A71513" w:rsidRPr="00A71513" w:rsidRDefault="00A71513" w:rsidP="00A71513">
      <w:pPr>
        <w:pStyle w:val="a8"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A71513">
        <w:rPr>
          <w:rFonts w:ascii="Times New Roman" w:hAnsi="Times New Roman" w:cs="Times New Roman"/>
          <w:noProof/>
          <w:sz w:val="16"/>
          <w:szCs w:val="16"/>
        </w:rPr>
        <w:t>Тетяна ОПАНАСИК</w:t>
      </w:r>
    </w:p>
    <w:p w:rsidR="00A71513" w:rsidRDefault="00A71513" w:rsidP="00A7151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715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178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13" w:rsidRPr="00A71513" w:rsidRDefault="00A71513" w:rsidP="00A7151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A71513" w:rsidRPr="006F024B" w:rsidRDefault="00A71513" w:rsidP="006F024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4B">
        <w:rPr>
          <w:rFonts w:ascii="Times New Roman" w:hAnsi="Times New Roman" w:cs="Times New Roman"/>
          <w:b/>
          <w:sz w:val="28"/>
          <w:szCs w:val="28"/>
        </w:rPr>
        <w:t>ГОРОДОЦЬКА СІЛЬСЬКА РАДА</w:t>
      </w:r>
    </w:p>
    <w:p w:rsidR="00A71513" w:rsidRPr="006F024B" w:rsidRDefault="00A71513" w:rsidP="006F024B">
      <w:pPr>
        <w:pStyle w:val="a8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6F024B">
        <w:rPr>
          <w:rFonts w:ascii="Times New Roman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A71513" w:rsidRPr="006F024B" w:rsidRDefault="00A71513" w:rsidP="006F024B">
      <w:pPr>
        <w:pStyle w:val="a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24B">
        <w:rPr>
          <w:rFonts w:ascii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A71513" w:rsidRPr="006F024B" w:rsidRDefault="00A71513" w:rsidP="006F024B">
      <w:pPr>
        <w:pStyle w:val="a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024B">
        <w:rPr>
          <w:rFonts w:ascii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A71513" w:rsidRPr="006F024B" w:rsidRDefault="00A71513" w:rsidP="00A71513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1513" w:rsidRPr="006F024B" w:rsidRDefault="00A71513" w:rsidP="006F024B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0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6F0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6F0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1513" w:rsidRPr="00A71513" w:rsidRDefault="00DB2CBB" w:rsidP="00A71513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A71513" w:rsidRPr="00A7151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2025 року              с. Городок            </w:t>
      </w:r>
      <w:r w:rsidR="0066674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                  № </w:t>
      </w:r>
      <w:r w:rsidR="001E10B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33</w:t>
      </w:r>
      <w:r w:rsidR="0066674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/55</w:t>
      </w:r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024B" w:rsidRPr="006F024B" w:rsidRDefault="00A71513" w:rsidP="00A7151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182565368"/>
      <w:bookmarkStart w:id="2" w:name="_Hlk138684869"/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погодження </w:t>
      </w:r>
      <w:proofErr w:type="spellStart"/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>проєкту</w:t>
      </w:r>
      <w:proofErr w:type="spellEnd"/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F024B" w:rsidRPr="006F024B" w:rsidRDefault="00A71513" w:rsidP="00A7151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землеустрою щодо встановлення </w:t>
      </w:r>
    </w:p>
    <w:p w:rsidR="006F024B" w:rsidRPr="006F024B" w:rsidRDefault="00A71513" w:rsidP="00A7151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меж </w:t>
      </w:r>
      <w:bookmarkStart w:id="3" w:name="_Hlk182564868"/>
      <w:bookmarkEnd w:id="1"/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території Олександрійської </w:t>
      </w:r>
    </w:p>
    <w:p w:rsidR="006F024B" w:rsidRPr="006F024B" w:rsidRDefault="00A71513" w:rsidP="00A7151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сільської територіальної громади </w:t>
      </w:r>
    </w:p>
    <w:p w:rsidR="00A71513" w:rsidRPr="006F024B" w:rsidRDefault="00A71513" w:rsidP="00A7151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F024B">
        <w:rPr>
          <w:rFonts w:ascii="Times New Roman" w:hAnsi="Times New Roman" w:cs="Times New Roman"/>
          <w:b/>
          <w:sz w:val="28"/>
          <w:szCs w:val="28"/>
          <w:lang w:eastAsia="ar-SA"/>
        </w:rPr>
        <w:t>Рівненського району Рівненської області</w:t>
      </w:r>
    </w:p>
    <w:bookmarkEnd w:id="2"/>
    <w:bookmarkEnd w:id="3"/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1513" w:rsidRPr="00A71513" w:rsidRDefault="00A71513" w:rsidP="00A7151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513">
        <w:rPr>
          <w:rFonts w:ascii="Times New Roman" w:hAnsi="Times New Roman" w:cs="Times New Roman"/>
          <w:sz w:val="28"/>
          <w:szCs w:val="28"/>
        </w:rPr>
        <w:t xml:space="preserve">Розглянувши клопотання Олександрійської сільської ради про погодження </w:t>
      </w:r>
      <w:proofErr w:type="spellStart"/>
      <w:r w:rsidRPr="00A7151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71513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Олександрійської сільської територіальної громади Рівненського району Рівненської області та розглянувши </w:t>
      </w:r>
      <w:proofErr w:type="spellStart"/>
      <w:r w:rsidRPr="00A715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71513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Олександрійської сільської територіальної громади Рівненського району Рівненської області, відповідно до статей 12, 122, 186 Земельного кодексу України, статей 25, 30, 46</w:t>
      </w:r>
      <w:r w:rsidRPr="00A715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71513"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керуючись статтями 26, 59 Закону України «Про місцеве самоврядування в Україні»</w:t>
      </w:r>
      <w:r w:rsidR="006F024B">
        <w:rPr>
          <w:rFonts w:ascii="Times New Roman" w:hAnsi="Times New Roman" w:cs="Times New Roman"/>
          <w:sz w:val="28"/>
          <w:szCs w:val="28"/>
        </w:rPr>
        <w:t>,</w:t>
      </w:r>
      <w:r w:rsidRPr="00A71513">
        <w:rPr>
          <w:rFonts w:ascii="Times New Roman" w:hAnsi="Times New Roman" w:cs="Times New Roman"/>
          <w:sz w:val="28"/>
          <w:szCs w:val="28"/>
        </w:rPr>
        <w:t xml:space="preserve"> за погодженням з постійними комісіями сільської ради, сільська рада</w:t>
      </w:r>
    </w:p>
    <w:p w:rsid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71513">
        <w:rPr>
          <w:rFonts w:ascii="Times New Roman" w:hAnsi="Times New Roman" w:cs="Times New Roman"/>
          <w:sz w:val="28"/>
          <w:szCs w:val="28"/>
        </w:rPr>
        <w:t>ВИРІШИЛА:</w:t>
      </w:r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1513" w:rsidRPr="00A71513" w:rsidRDefault="00A71513" w:rsidP="00A71513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513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Pr="00A7151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71513">
        <w:rPr>
          <w:rFonts w:ascii="Times New Roman" w:hAnsi="Times New Roman" w:cs="Times New Roman"/>
          <w:sz w:val="28"/>
          <w:szCs w:val="28"/>
        </w:rPr>
        <w:t xml:space="preserve"> землеустрою щодо встановлення меж території Олександрійської сільської територіальної громади Рівненського району Рівненської області.</w:t>
      </w:r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1513" w:rsidRPr="00A71513" w:rsidRDefault="00A71513" w:rsidP="00A71513">
      <w:pPr>
        <w:pStyle w:val="a8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8668000"/>
      <w:bookmarkStart w:id="5" w:name="_Hlk128666261"/>
      <w:r w:rsidRPr="00A7151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4"/>
      <w:r w:rsidRPr="00A71513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1513" w:rsidRPr="00A71513" w:rsidRDefault="00A71513" w:rsidP="00A7151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71513" w:rsidRPr="00A71513" w:rsidRDefault="00A71513" w:rsidP="00A7151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513">
        <w:rPr>
          <w:rFonts w:ascii="Times New Roman" w:hAnsi="Times New Roman" w:cs="Times New Roman"/>
          <w:color w:val="000000"/>
          <w:sz w:val="28"/>
          <w:szCs w:val="28"/>
        </w:rPr>
        <w:t xml:space="preserve">Сільський голова </w:t>
      </w:r>
      <w:r w:rsidRPr="00A715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r w:rsidRPr="00A71513">
        <w:rPr>
          <w:rFonts w:ascii="Times New Roman" w:hAnsi="Times New Roman" w:cs="Times New Roman"/>
          <w:color w:val="000000"/>
          <w:sz w:val="28"/>
          <w:szCs w:val="28"/>
        </w:rPr>
        <w:t>Сергій ПОЛІЩУК</w:t>
      </w:r>
    </w:p>
    <w:p w:rsidR="00A71513" w:rsidRDefault="00A71513" w:rsidP="00A71513">
      <w:pPr>
        <w:jc w:val="both"/>
        <w:rPr>
          <w:b/>
          <w:color w:val="000000"/>
          <w:sz w:val="28"/>
          <w:szCs w:val="28"/>
        </w:rPr>
        <w:sectPr w:rsidR="00A71513" w:rsidSect="006F024B">
          <w:headerReference w:type="default" r:id="rId9"/>
          <w:headerReference w:type="firs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71513" w:rsidRPr="004C4EA2" w:rsidRDefault="00A71513" w:rsidP="00A71513">
      <w:pPr>
        <w:jc w:val="center"/>
        <w:rPr>
          <w:b/>
          <w:sz w:val="28"/>
          <w:szCs w:val="28"/>
          <w:lang w:eastAsia="en-US"/>
        </w:rPr>
      </w:pPr>
      <w:r w:rsidRPr="004C4EA2">
        <w:rPr>
          <w:b/>
          <w:sz w:val="28"/>
          <w:szCs w:val="28"/>
        </w:rPr>
        <w:lastRenderedPageBreak/>
        <w:t>ПОЯСНЮВАЛЬНА ЗАПИСКА</w:t>
      </w:r>
    </w:p>
    <w:p w:rsidR="00A71513" w:rsidRPr="004C4EA2" w:rsidRDefault="00A71513" w:rsidP="00A71513">
      <w:pPr>
        <w:jc w:val="center"/>
        <w:rPr>
          <w:sz w:val="28"/>
          <w:szCs w:val="28"/>
        </w:rPr>
      </w:pPr>
      <w:r w:rsidRPr="004C4EA2">
        <w:rPr>
          <w:sz w:val="28"/>
          <w:szCs w:val="28"/>
        </w:rPr>
        <w:t xml:space="preserve">до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рішення сесії сільської ради </w:t>
      </w:r>
    </w:p>
    <w:p w:rsidR="00A71513" w:rsidRDefault="00A71513" w:rsidP="00A71513">
      <w:pPr>
        <w:jc w:val="center"/>
        <w:rPr>
          <w:sz w:val="28"/>
          <w:szCs w:val="28"/>
        </w:rPr>
      </w:pPr>
      <w:r w:rsidRPr="004C4EA2">
        <w:rPr>
          <w:sz w:val="28"/>
          <w:szCs w:val="28"/>
        </w:rPr>
        <w:t>«</w:t>
      </w:r>
      <w:r w:rsidRPr="000F7EA0">
        <w:rPr>
          <w:sz w:val="28"/>
          <w:szCs w:val="28"/>
        </w:rPr>
        <w:t xml:space="preserve">Про погодження </w:t>
      </w:r>
      <w:proofErr w:type="spellStart"/>
      <w:r w:rsidRPr="000F7EA0">
        <w:rPr>
          <w:sz w:val="28"/>
          <w:szCs w:val="28"/>
        </w:rPr>
        <w:t>проєкту</w:t>
      </w:r>
      <w:proofErr w:type="spellEnd"/>
      <w:r w:rsidRPr="000F7EA0">
        <w:rPr>
          <w:sz w:val="28"/>
          <w:szCs w:val="28"/>
        </w:rPr>
        <w:t xml:space="preserve"> землеустрою щодо встановлення меж території Олександрійської сільської територіальної громади</w:t>
      </w:r>
    </w:p>
    <w:p w:rsidR="00A71513" w:rsidRPr="004C4EA2" w:rsidRDefault="00A71513" w:rsidP="00A71513">
      <w:pPr>
        <w:jc w:val="center"/>
        <w:rPr>
          <w:sz w:val="28"/>
          <w:szCs w:val="28"/>
        </w:rPr>
      </w:pPr>
      <w:r w:rsidRPr="000F7EA0">
        <w:rPr>
          <w:sz w:val="28"/>
          <w:szCs w:val="28"/>
        </w:rPr>
        <w:t>Рівненського району Рівненської області</w:t>
      </w:r>
      <w:r w:rsidRPr="004C4EA2">
        <w:rPr>
          <w:sz w:val="28"/>
          <w:szCs w:val="28"/>
        </w:rPr>
        <w:t>»</w:t>
      </w:r>
    </w:p>
    <w:p w:rsidR="00A71513" w:rsidRPr="004C4EA2" w:rsidRDefault="00A71513" w:rsidP="00A71513">
      <w:pPr>
        <w:jc w:val="center"/>
        <w:rPr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Обґрунтування необхідності прийняття рішення сесії.</w:t>
      </w:r>
    </w:p>
    <w:p w:rsidR="00A71513" w:rsidRPr="00B62471" w:rsidRDefault="00A71513" w:rsidP="00A71513">
      <w:pPr>
        <w:tabs>
          <w:tab w:val="left" w:pos="993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B62471">
        <w:rPr>
          <w:sz w:val="28"/>
          <w:szCs w:val="28"/>
        </w:rPr>
        <w:t xml:space="preserve">До Городоцької сільської ради із клопотанням від </w:t>
      </w:r>
      <w:r>
        <w:rPr>
          <w:sz w:val="28"/>
          <w:szCs w:val="28"/>
        </w:rPr>
        <w:t>03 грудня</w:t>
      </w:r>
      <w:r w:rsidRPr="00B62471">
        <w:rPr>
          <w:sz w:val="28"/>
          <w:szCs w:val="28"/>
        </w:rPr>
        <w:t xml:space="preserve"> 2025 року №</w:t>
      </w:r>
      <w:r>
        <w:rPr>
          <w:sz w:val="28"/>
          <w:szCs w:val="28"/>
        </w:rPr>
        <w:t>1240</w:t>
      </w:r>
      <w:r w:rsidRPr="00B62471">
        <w:rPr>
          <w:sz w:val="28"/>
          <w:szCs w:val="28"/>
        </w:rPr>
        <w:t xml:space="preserve"> звернулася </w:t>
      </w:r>
      <w:r>
        <w:rPr>
          <w:sz w:val="28"/>
          <w:szCs w:val="28"/>
        </w:rPr>
        <w:t>Олександрійська сільська</w:t>
      </w:r>
      <w:r w:rsidRPr="00B62471">
        <w:rPr>
          <w:sz w:val="28"/>
          <w:szCs w:val="28"/>
        </w:rPr>
        <w:t xml:space="preserve"> територіальна громада </w:t>
      </w:r>
      <w:r>
        <w:rPr>
          <w:sz w:val="28"/>
          <w:szCs w:val="28"/>
        </w:rPr>
        <w:t xml:space="preserve">Рівненського району </w:t>
      </w:r>
      <w:r w:rsidRPr="00B62471">
        <w:rPr>
          <w:sz w:val="28"/>
          <w:szCs w:val="28"/>
        </w:rPr>
        <w:t xml:space="preserve">Рівненської області про погодження </w:t>
      </w:r>
      <w:proofErr w:type="spellStart"/>
      <w:r w:rsidRPr="00B62471">
        <w:rPr>
          <w:sz w:val="28"/>
          <w:szCs w:val="28"/>
        </w:rPr>
        <w:t>проєкту</w:t>
      </w:r>
      <w:proofErr w:type="spellEnd"/>
      <w:r w:rsidRPr="00B62471">
        <w:rPr>
          <w:sz w:val="28"/>
          <w:szCs w:val="28"/>
        </w:rPr>
        <w:t xml:space="preserve"> землеустрою щодо встановлення меж території Рівненської територіальної громади Рівненської області в частині проходження меж території, яка межує із землями Городоцької територіальної громади.</w:t>
      </w:r>
    </w:p>
    <w:p w:rsidR="00A71513" w:rsidRPr="004C4EA2" w:rsidRDefault="00A71513" w:rsidP="00A71513">
      <w:pPr>
        <w:tabs>
          <w:tab w:val="left" w:pos="993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4C4EA2">
        <w:rPr>
          <w:sz w:val="28"/>
          <w:szCs w:val="28"/>
        </w:rPr>
        <w:t>Відповідно до пункту другого частини третьої статті 186 Земельного кодексу України</w:t>
      </w:r>
      <w:r w:rsidRPr="004C4EA2">
        <w:t xml:space="preserve"> </w:t>
      </w:r>
      <w:r w:rsidRPr="004C4EA2">
        <w:rPr>
          <w:sz w:val="28"/>
          <w:szCs w:val="28"/>
        </w:rPr>
        <w:t>проекти землеустрою щодо встановлення меж територій територіальних громад погоджуються сільськими, селищними, міськими радами суміжних територіальних громад і затверджуються сільською, селищною, міською радою, що представляє інтереси територіальної громади, межі території якої встановлюються.</w:t>
      </w:r>
    </w:p>
    <w:p w:rsidR="00A71513" w:rsidRDefault="00A71513" w:rsidP="00A71513">
      <w:pPr>
        <w:tabs>
          <w:tab w:val="left" w:pos="993"/>
          <w:tab w:val="left" w:pos="1276"/>
        </w:tabs>
        <w:ind w:firstLine="567"/>
        <w:contextualSpacing/>
        <w:jc w:val="both"/>
        <w:rPr>
          <w:rFonts w:eastAsia="Lucida Sans Unicode"/>
          <w:color w:val="000000"/>
          <w:kern w:val="2"/>
          <w:sz w:val="28"/>
          <w:szCs w:val="28"/>
        </w:rPr>
      </w:pPr>
      <w:proofErr w:type="spellStart"/>
      <w:r w:rsidRPr="004C4EA2">
        <w:rPr>
          <w:sz w:val="28"/>
          <w:szCs w:val="28"/>
        </w:rPr>
        <w:t>Проєкт</w:t>
      </w:r>
      <w:proofErr w:type="spellEnd"/>
      <w:r w:rsidRPr="004C4EA2">
        <w:rPr>
          <w:sz w:val="28"/>
          <w:szCs w:val="28"/>
        </w:rPr>
        <w:t xml:space="preserve"> землеустрою щодо встановлення меж території </w:t>
      </w:r>
      <w:r>
        <w:rPr>
          <w:sz w:val="28"/>
          <w:szCs w:val="28"/>
        </w:rPr>
        <w:t>Олександрійської сільської</w:t>
      </w:r>
      <w:r w:rsidRPr="004C4EA2">
        <w:rPr>
          <w:sz w:val="28"/>
          <w:szCs w:val="28"/>
        </w:rPr>
        <w:t xml:space="preserve"> територіальної громади </w:t>
      </w:r>
      <w:r>
        <w:rPr>
          <w:sz w:val="28"/>
          <w:szCs w:val="28"/>
        </w:rPr>
        <w:t xml:space="preserve">Рівненського району </w:t>
      </w:r>
      <w:r w:rsidRPr="00B62471">
        <w:rPr>
          <w:sz w:val="28"/>
          <w:szCs w:val="28"/>
        </w:rPr>
        <w:t xml:space="preserve">Рівненської області </w:t>
      </w:r>
      <w:r w:rsidRPr="004C4EA2">
        <w:rPr>
          <w:sz w:val="28"/>
          <w:szCs w:val="28"/>
        </w:rPr>
        <w:t xml:space="preserve">розроблено Рівненською регіональною філією Державного підприємства «Центр державного земельного кадастру» сертифікованим інженером-землевпорядником </w:t>
      </w:r>
      <w:proofErr w:type="spellStart"/>
      <w:r w:rsidRPr="004C4EA2">
        <w:rPr>
          <w:sz w:val="28"/>
          <w:szCs w:val="28"/>
        </w:rPr>
        <w:t>Бухальським</w:t>
      </w:r>
      <w:proofErr w:type="spellEnd"/>
      <w:r w:rsidRPr="004C4EA2">
        <w:rPr>
          <w:sz w:val="28"/>
          <w:szCs w:val="28"/>
        </w:rPr>
        <w:t xml:space="preserve"> Василем Олеговичем (</w:t>
      </w:r>
      <w:r w:rsidRPr="004C4EA2">
        <w:rPr>
          <w:rFonts w:eastAsia="Lucida Sans Unicode"/>
          <w:color w:val="000000"/>
          <w:kern w:val="2"/>
          <w:sz w:val="28"/>
          <w:szCs w:val="28"/>
        </w:rPr>
        <w:t>кваліфікаційний сертифікат інженера – землевпорядника від</w:t>
      </w:r>
      <w:r>
        <w:rPr>
          <w:rFonts w:eastAsia="Lucida Sans Unicode"/>
          <w:color w:val="000000"/>
          <w:kern w:val="2"/>
          <w:sz w:val="28"/>
          <w:szCs w:val="28"/>
        </w:rPr>
        <w:t> </w:t>
      </w:r>
      <w:r w:rsidRPr="004C4EA2">
        <w:rPr>
          <w:rFonts w:eastAsia="Lucida Sans Unicode"/>
          <w:color w:val="000000"/>
          <w:kern w:val="2"/>
          <w:sz w:val="28"/>
          <w:szCs w:val="28"/>
        </w:rPr>
        <w:t>17</w:t>
      </w:r>
      <w:r>
        <w:rPr>
          <w:rFonts w:eastAsia="Lucida Sans Unicode"/>
          <w:color w:val="000000"/>
          <w:kern w:val="2"/>
          <w:sz w:val="28"/>
          <w:szCs w:val="28"/>
        </w:rPr>
        <w:t> </w:t>
      </w:r>
      <w:r w:rsidRPr="004C4EA2">
        <w:rPr>
          <w:rFonts w:eastAsia="Lucida Sans Unicode"/>
          <w:color w:val="000000"/>
          <w:kern w:val="2"/>
          <w:sz w:val="28"/>
          <w:szCs w:val="28"/>
        </w:rPr>
        <w:t>серпня 2016 року № 010469).</w:t>
      </w:r>
    </w:p>
    <w:p w:rsidR="00A71513" w:rsidRPr="004C4EA2" w:rsidRDefault="00A71513" w:rsidP="00A71513">
      <w:pPr>
        <w:tabs>
          <w:tab w:val="left" w:pos="993"/>
          <w:tab w:val="left" w:pos="1276"/>
        </w:tabs>
        <w:ind w:firstLine="567"/>
        <w:contextualSpacing/>
        <w:jc w:val="both"/>
        <w:rPr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Мета і шляхи її досягнення.</w:t>
      </w:r>
    </w:p>
    <w:p w:rsidR="00A71513" w:rsidRDefault="00A71513" w:rsidP="00A71513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>У разі прийняття рішення</w:t>
      </w:r>
      <w:r w:rsidRPr="004C4EA2">
        <w:t xml:space="preserve"> </w:t>
      </w:r>
      <w:r w:rsidRPr="004C4EA2">
        <w:rPr>
          <w:sz w:val="28"/>
          <w:szCs w:val="28"/>
        </w:rPr>
        <w:t xml:space="preserve">про погодження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землеустрою щодо встановлення меж території Рівненської міської територіальної громади Рівненської області, буде погоджено межу Рівненської територіальної громади Рівненської області в частині проходження меж території, яка межує із землями Городоцької територіальної громади.</w:t>
      </w:r>
    </w:p>
    <w:p w:rsidR="00A71513" w:rsidRPr="004C4EA2" w:rsidRDefault="00A71513" w:rsidP="00A71513">
      <w:pPr>
        <w:tabs>
          <w:tab w:val="left" w:pos="993"/>
          <w:tab w:val="left" w:pos="1985"/>
        </w:tabs>
        <w:ind w:firstLine="567"/>
        <w:jc w:val="both"/>
        <w:rPr>
          <w:b/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lastRenderedPageBreak/>
        <w:t>Правові аспекти.</w:t>
      </w:r>
    </w:p>
    <w:p w:rsidR="00A71513" w:rsidRDefault="00A71513" w:rsidP="00A71513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Дане рішення буде прийняте на підставі статей 26, 59 Закону України «Про місцеве самоврядування в Україні», статей 25, </w:t>
      </w:r>
      <w:r>
        <w:rPr>
          <w:sz w:val="28"/>
          <w:szCs w:val="28"/>
        </w:rPr>
        <w:t xml:space="preserve">30, </w:t>
      </w:r>
      <w:r w:rsidRPr="004C4EA2">
        <w:rPr>
          <w:sz w:val="28"/>
          <w:szCs w:val="28"/>
        </w:rPr>
        <w:t>46</w:t>
      </w:r>
      <w:r w:rsidRPr="004C4EA2">
        <w:rPr>
          <w:sz w:val="28"/>
          <w:szCs w:val="28"/>
          <w:vertAlign w:val="superscript"/>
        </w:rPr>
        <w:t>1</w:t>
      </w:r>
      <w:r w:rsidRPr="004C4EA2">
        <w:rPr>
          <w:sz w:val="28"/>
          <w:szCs w:val="28"/>
        </w:rPr>
        <w:t xml:space="preserve"> Закону України «Про землеустрій», статей 12, 122, 186 Земельного кодексу України.</w:t>
      </w:r>
    </w:p>
    <w:p w:rsidR="00A71513" w:rsidRPr="004C4EA2" w:rsidRDefault="00A71513" w:rsidP="00A71513">
      <w:pPr>
        <w:tabs>
          <w:tab w:val="left" w:pos="993"/>
          <w:tab w:val="left" w:pos="1985"/>
        </w:tabs>
        <w:ind w:firstLine="567"/>
        <w:jc w:val="both"/>
        <w:rPr>
          <w:color w:val="000000"/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Фінансово-економічне обґрунтування.</w:t>
      </w:r>
    </w:p>
    <w:p w:rsidR="00A71513" w:rsidRDefault="00A71513" w:rsidP="00A715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C4EA2">
        <w:rPr>
          <w:sz w:val="28"/>
          <w:szCs w:val="28"/>
        </w:rPr>
        <w:t>проєкту</w:t>
      </w:r>
      <w:proofErr w:type="spellEnd"/>
      <w:r w:rsidRPr="004C4EA2">
        <w:rPr>
          <w:sz w:val="28"/>
          <w:szCs w:val="28"/>
        </w:rPr>
        <w:t xml:space="preserve"> рішення не потребується.</w:t>
      </w:r>
    </w:p>
    <w:p w:rsidR="00A71513" w:rsidRPr="004C4EA2" w:rsidRDefault="00A71513" w:rsidP="00A71513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Позиція заінтересованих органів.</w:t>
      </w:r>
    </w:p>
    <w:p w:rsidR="00A71513" w:rsidRPr="004C4EA2" w:rsidRDefault="00A71513" w:rsidP="00A71513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spellStart"/>
      <w:r w:rsidRPr="004C4EA2">
        <w:rPr>
          <w:color w:val="000000"/>
          <w:sz w:val="28"/>
          <w:szCs w:val="28"/>
        </w:rPr>
        <w:t>Проєкт</w:t>
      </w:r>
      <w:proofErr w:type="spellEnd"/>
      <w:r w:rsidRPr="004C4EA2">
        <w:rPr>
          <w:color w:val="000000"/>
          <w:sz w:val="28"/>
          <w:szCs w:val="28"/>
        </w:rPr>
        <w:t xml:space="preserve"> рішення не стосується позиції</w:t>
      </w:r>
      <w:r w:rsidRPr="004C4EA2">
        <w:rPr>
          <w:sz w:val="28"/>
          <w:szCs w:val="28"/>
        </w:rPr>
        <w:t xml:space="preserve"> державних </w:t>
      </w:r>
      <w:proofErr w:type="spellStart"/>
      <w:r w:rsidRPr="004C4EA2">
        <w:rPr>
          <w:sz w:val="28"/>
          <w:szCs w:val="28"/>
        </w:rPr>
        <w:t>інспектуючих</w:t>
      </w:r>
      <w:proofErr w:type="spellEnd"/>
      <w:r w:rsidRPr="004C4EA2">
        <w:rPr>
          <w:sz w:val="28"/>
          <w:szCs w:val="28"/>
        </w:rPr>
        <w:t xml:space="preserve"> організацій.</w:t>
      </w: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4C4EA2">
        <w:rPr>
          <w:b/>
          <w:sz w:val="28"/>
          <w:szCs w:val="28"/>
        </w:rPr>
        <w:t>Місцевий аспект.</w:t>
      </w:r>
    </w:p>
    <w:p w:rsidR="00A71513" w:rsidRDefault="00A71513" w:rsidP="00A7151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Офіційне встановлення меж території суміжної територіальної громади та реєстрація відомостей про встановлення таких меж в Державному земельному кадастрі.</w:t>
      </w:r>
    </w:p>
    <w:p w:rsidR="00A71513" w:rsidRDefault="00A71513" w:rsidP="00A7151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4C4EA2">
        <w:rPr>
          <w:b/>
          <w:color w:val="000000"/>
          <w:sz w:val="28"/>
          <w:szCs w:val="28"/>
        </w:rPr>
        <w:t>Громадське обговорення.</w:t>
      </w:r>
    </w:p>
    <w:p w:rsidR="00A71513" w:rsidRDefault="00A71513" w:rsidP="00A7151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 w:rsidRPr="004C4EA2">
        <w:rPr>
          <w:color w:val="000000"/>
          <w:sz w:val="28"/>
          <w:szCs w:val="28"/>
        </w:rPr>
        <w:t>Проєкт</w:t>
      </w:r>
      <w:proofErr w:type="spellEnd"/>
      <w:r w:rsidRPr="004C4EA2">
        <w:rPr>
          <w:color w:val="000000"/>
          <w:sz w:val="28"/>
          <w:szCs w:val="28"/>
        </w:rPr>
        <w:t xml:space="preserve"> рішення не потребує проведення громадського обговорення.</w:t>
      </w:r>
    </w:p>
    <w:p w:rsidR="00A71513" w:rsidRPr="004C4EA2" w:rsidRDefault="00A71513" w:rsidP="00A71513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A71513" w:rsidRPr="004C4EA2" w:rsidRDefault="00A71513" w:rsidP="00A7151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b/>
          <w:color w:val="000000"/>
          <w:sz w:val="28"/>
          <w:szCs w:val="28"/>
        </w:rPr>
      </w:pPr>
      <w:r w:rsidRPr="004C4EA2">
        <w:rPr>
          <w:b/>
          <w:color w:val="000000"/>
          <w:sz w:val="28"/>
          <w:szCs w:val="28"/>
        </w:rPr>
        <w:t>Прогноз результатів.</w:t>
      </w:r>
    </w:p>
    <w:p w:rsidR="00A71513" w:rsidRPr="004C4EA2" w:rsidRDefault="00A71513" w:rsidP="00A71513">
      <w:pPr>
        <w:tabs>
          <w:tab w:val="left" w:pos="993"/>
          <w:tab w:val="left" w:pos="1985"/>
        </w:tabs>
        <w:ind w:firstLine="567"/>
        <w:jc w:val="both"/>
        <w:rPr>
          <w:sz w:val="28"/>
          <w:szCs w:val="28"/>
        </w:rPr>
      </w:pPr>
      <w:r w:rsidRPr="004C4EA2">
        <w:rPr>
          <w:sz w:val="28"/>
          <w:szCs w:val="28"/>
        </w:rPr>
        <w:t xml:space="preserve">Прийняте рішення сприятиме удосконалення управління територією </w:t>
      </w:r>
      <w:r>
        <w:rPr>
          <w:sz w:val="28"/>
          <w:szCs w:val="28"/>
        </w:rPr>
        <w:t xml:space="preserve">суміжної територіальної </w:t>
      </w:r>
      <w:r w:rsidRPr="004C4EA2">
        <w:rPr>
          <w:sz w:val="28"/>
          <w:szCs w:val="28"/>
        </w:rPr>
        <w:t>громади, ведення державного земельного кадастру, уникнення спірних питань щодо суміжних територій, а також визнанню офіційних меж громади відповідно до чинного законодавства.</w:t>
      </w:r>
    </w:p>
    <w:p w:rsidR="00A71513" w:rsidRPr="004C4EA2" w:rsidRDefault="00A71513" w:rsidP="00A71513">
      <w:pPr>
        <w:jc w:val="both"/>
        <w:rPr>
          <w:sz w:val="28"/>
          <w:szCs w:val="28"/>
        </w:rPr>
      </w:pPr>
    </w:p>
    <w:p w:rsidR="00A71513" w:rsidRPr="004C4EA2" w:rsidRDefault="00A71513" w:rsidP="00A71513">
      <w:pPr>
        <w:jc w:val="both"/>
        <w:rPr>
          <w:sz w:val="28"/>
          <w:szCs w:val="28"/>
        </w:rPr>
      </w:pPr>
    </w:p>
    <w:p w:rsidR="00A71513" w:rsidRPr="004C4EA2" w:rsidRDefault="00A71513" w:rsidP="00A71513">
      <w:pPr>
        <w:jc w:val="both"/>
        <w:rPr>
          <w:sz w:val="28"/>
          <w:szCs w:val="28"/>
        </w:rPr>
      </w:pPr>
    </w:p>
    <w:p w:rsidR="00A71513" w:rsidRPr="004C4EA2" w:rsidRDefault="00A71513" w:rsidP="00A71513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Calibri"/>
          <w:kern w:val="1"/>
          <w:sz w:val="28"/>
          <w:szCs w:val="28"/>
          <w:lang w:eastAsia="en-US"/>
        </w:rPr>
        <w:t xml:space="preserve">Начальник відділу </w:t>
      </w: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архітектури,</w:t>
      </w:r>
    </w:p>
    <w:p w:rsidR="00A71513" w:rsidRPr="004C4EA2" w:rsidRDefault="00A71513" w:rsidP="00A71513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 xml:space="preserve">земельних відносин та </w:t>
      </w:r>
      <w:proofErr w:type="spellStart"/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житлово-</w:t>
      </w:r>
      <w:proofErr w:type="spellEnd"/>
    </w:p>
    <w:p w:rsidR="00A71513" w:rsidRPr="004C4EA2" w:rsidRDefault="00A71513" w:rsidP="00A71513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t>комунального господарства</w:t>
      </w:r>
    </w:p>
    <w:p w:rsidR="00A71513" w:rsidRPr="004C4EA2" w:rsidRDefault="00A71513" w:rsidP="00A71513">
      <w:pPr>
        <w:widowControl w:val="0"/>
        <w:suppressAutoHyphens/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</w:pPr>
      <w:r w:rsidRPr="004C4EA2">
        <w:rPr>
          <w:rFonts w:eastAsia="Lucida Sans Unicode"/>
          <w:kern w:val="1"/>
          <w:sz w:val="28"/>
          <w:szCs w:val="28"/>
          <w:shd w:val="clear" w:color="auto" w:fill="FFFFFF"/>
          <w:lang w:eastAsia="en-US"/>
        </w:rPr>
        <w:lastRenderedPageBreak/>
        <w:t>сільської ради                                                                              Тетяна ОПАНАСИК</w:t>
      </w:r>
    </w:p>
    <w:p w:rsidR="00A71513" w:rsidRPr="004C4EA2" w:rsidRDefault="00A71513" w:rsidP="00A71513">
      <w:pPr>
        <w:widowControl w:val="0"/>
        <w:suppressAutoHyphens/>
        <w:rPr>
          <w:rFonts w:eastAsia="Calibri"/>
          <w:kern w:val="1"/>
          <w:sz w:val="28"/>
          <w:szCs w:val="28"/>
          <w:lang w:eastAsia="en-US"/>
        </w:rPr>
      </w:pPr>
    </w:p>
    <w:p w:rsidR="00E60F15" w:rsidRPr="00A71513" w:rsidRDefault="00E60F15">
      <w:pPr>
        <w:rPr>
          <w:rFonts w:ascii="Times New Roman" w:hAnsi="Times New Roman" w:cs="Times New Roman"/>
          <w:sz w:val="28"/>
          <w:szCs w:val="28"/>
        </w:rPr>
      </w:pPr>
    </w:p>
    <w:sectPr w:rsidR="00E60F15" w:rsidRPr="00A71513" w:rsidSect="009E519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91" w:rsidRDefault="00B24391" w:rsidP="002423E2">
      <w:pPr>
        <w:spacing w:after="0" w:line="240" w:lineRule="auto"/>
      </w:pPr>
      <w:r>
        <w:separator/>
      </w:r>
    </w:p>
  </w:endnote>
  <w:endnote w:type="continuationSeparator" w:id="0">
    <w:p w:rsidR="00B24391" w:rsidRDefault="00B24391" w:rsidP="002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91" w:rsidRDefault="00B24391" w:rsidP="002423E2">
      <w:pPr>
        <w:spacing w:after="0" w:line="240" w:lineRule="auto"/>
      </w:pPr>
      <w:r>
        <w:separator/>
      </w:r>
    </w:p>
  </w:footnote>
  <w:footnote w:type="continuationSeparator" w:id="0">
    <w:p w:rsidR="00B24391" w:rsidRDefault="00B24391" w:rsidP="0024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9E" w:rsidRPr="009E519E" w:rsidRDefault="007C712E" w:rsidP="009E519E">
    <w:pPr>
      <w:pStyle w:val="a3"/>
      <w:jc w:val="center"/>
    </w:pPr>
    <w:r>
      <w:fldChar w:fldCharType="begin"/>
    </w:r>
    <w:r w:rsidR="00E60F15">
      <w:instrText>PAGE   \* MERGEFORMAT</w:instrText>
    </w:r>
    <w:r>
      <w:fldChar w:fldCharType="separate"/>
    </w:r>
    <w:r w:rsidR="00DB2CB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9E" w:rsidRPr="009E519E" w:rsidRDefault="00DB2CB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851"/>
    <w:multiLevelType w:val="hybridMultilevel"/>
    <w:tmpl w:val="B03A2B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934648"/>
    <w:multiLevelType w:val="hybridMultilevel"/>
    <w:tmpl w:val="A0B00810"/>
    <w:lvl w:ilvl="0" w:tplc="735ACF4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1513"/>
    <w:rsid w:val="001E10B4"/>
    <w:rsid w:val="002423E2"/>
    <w:rsid w:val="006149EB"/>
    <w:rsid w:val="0066674E"/>
    <w:rsid w:val="006F024B"/>
    <w:rsid w:val="007C712E"/>
    <w:rsid w:val="00A71513"/>
    <w:rsid w:val="00B24391"/>
    <w:rsid w:val="00B6593A"/>
    <w:rsid w:val="00D276EB"/>
    <w:rsid w:val="00DB2CBB"/>
    <w:rsid w:val="00E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1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1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7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51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715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2947</Words>
  <Characters>1680</Characters>
  <Application>Microsoft Office Word</Application>
  <DocSecurity>0</DocSecurity>
  <Lines>14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2025-12-10T09:32:00Z</dcterms:created>
  <dcterms:modified xsi:type="dcterms:W3CDTF">2025-12-14T10:00:00Z</dcterms:modified>
</cp:coreProperties>
</file>