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3E09FB" w:rsidRPr="003E09FB" w:rsidTr="00F466C2">
        <w:tc>
          <w:tcPr>
            <w:tcW w:w="9855" w:type="dxa"/>
            <w:shd w:val="clear" w:color="auto" w:fill="auto"/>
          </w:tcPr>
          <w:tbl>
            <w:tblPr>
              <w:tblW w:w="9778" w:type="dxa"/>
              <w:tblLook w:val="04A0" w:firstRow="1" w:lastRow="0" w:firstColumn="1" w:lastColumn="0" w:noHBand="0" w:noVBand="1"/>
            </w:tblPr>
            <w:tblGrid>
              <w:gridCol w:w="4962"/>
              <w:gridCol w:w="4816"/>
            </w:tblGrid>
            <w:tr w:rsidR="003E09FB" w:rsidRPr="003E09FB" w:rsidTr="00F466C2">
              <w:tc>
                <w:tcPr>
                  <w:tcW w:w="4962" w:type="dxa"/>
                  <w:shd w:val="clear" w:color="auto" w:fill="auto"/>
                </w:tcPr>
                <w:p w:rsidR="003E09FB" w:rsidRPr="003E09FB" w:rsidRDefault="003E09FB" w:rsidP="003E09FB">
                  <w:pPr>
                    <w:widowControl w:val="0"/>
                    <w:spacing w:after="0" w:line="240" w:lineRule="auto"/>
                    <w:ind w:left="-105"/>
                    <w:rPr>
                      <w:rFonts w:ascii="Times New Roman" w:eastAsia="SimSun" w:hAnsi="Times New Roman" w:cs="Times New Roman"/>
                      <w:iCs/>
                      <w:color w:val="000000"/>
                      <w:kern w:val="2"/>
                      <w:sz w:val="28"/>
                      <w:szCs w:val="28"/>
                      <w:lang w:eastAsia="zh-CN" w:bidi="hi-IN"/>
                    </w:rPr>
                  </w:pPr>
                  <w:bookmarkStart w:id="0" w:name="_Hlk148691638"/>
                  <w:r w:rsidRPr="003E09FB">
                    <w:rPr>
                      <w:rFonts w:ascii="Times New Roman" w:eastAsia="Courier New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>СХВАЛЕНО</w:t>
                  </w:r>
                  <w:r w:rsidRPr="003E09FB">
                    <w:rPr>
                      <w:rFonts w:ascii="Times New Roman" w:eastAsia="Courier New" w:hAnsi="Times New Roman" w:cs="Times New Roman"/>
                      <w:sz w:val="28"/>
                      <w:szCs w:val="28"/>
                      <w:lang w:eastAsia="uk-UA"/>
                    </w:rPr>
                    <w:br/>
                  </w:r>
                  <w:r w:rsidRPr="003E09FB">
                    <w:rPr>
                      <w:rFonts w:ascii="Times New Roman" w:eastAsia="SimSun" w:hAnsi="Times New Roman" w:cs="Times New Roman"/>
                      <w:iCs/>
                      <w:color w:val="000000"/>
                      <w:kern w:val="2"/>
                      <w:sz w:val="28"/>
                      <w:szCs w:val="28"/>
                      <w:lang w:eastAsia="zh-CN" w:bidi="hi-IN"/>
                    </w:rPr>
                    <w:t>Рішення виконавчого</w:t>
                  </w:r>
                </w:p>
                <w:p w:rsidR="003E09FB" w:rsidRPr="003E09FB" w:rsidRDefault="003E09FB" w:rsidP="003E09FB">
                  <w:pPr>
                    <w:widowControl w:val="0"/>
                    <w:spacing w:after="0" w:line="240" w:lineRule="auto"/>
                    <w:ind w:left="-105"/>
                    <w:rPr>
                      <w:rFonts w:ascii="Times New Roman" w:eastAsia="Courier New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</w:pPr>
                  <w:r w:rsidRPr="003E09FB">
                    <w:rPr>
                      <w:rFonts w:ascii="Times New Roman" w:eastAsia="SimSun" w:hAnsi="Times New Roman" w:cs="Times New Roman"/>
                      <w:iCs/>
                      <w:color w:val="000000"/>
                      <w:kern w:val="2"/>
                      <w:sz w:val="28"/>
                      <w:szCs w:val="28"/>
                      <w:lang w:eastAsia="zh-CN" w:bidi="hi-IN"/>
                    </w:rPr>
                    <w:t>комітету сільської ради</w:t>
                  </w:r>
                </w:p>
                <w:p w:rsidR="003E09FB" w:rsidRPr="003E09FB" w:rsidRDefault="003E09FB" w:rsidP="003E09FB">
                  <w:pPr>
                    <w:widowControl w:val="0"/>
                    <w:spacing w:after="0" w:line="240" w:lineRule="auto"/>
                    <w:ind w:left="-105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</w:pPr>
                  <w:r w:rsidRPr="003E09FB">
                    <w:rPr>
                      <w:rFonts w:ascii="Times New Roman" w:eastAsia="Courier New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>20.11.2025 № 264</w:t>
                  </w:r>
                </w:p>
              </w:tc>
              <w:tc>
                <w:tcPr>
                  <w:tcW w:w="4816" w:type="dxa"/>
                  <w:shd w:val="clear" w:color="auto" w:fill="auto"/>
                </w:tcPr>
                <w:p w:rsidR="003E09FB" w:rsidRPr="003E09FB" w:rsidRDefault="003E09FB" w:rsidP="003E09FB">
                  <w:pPr>
                    <w:widowControl w:val="0"/>
                    <w:spacing w:after="0" w:line="240" w:lineRule="auto"/>
                    <w:ind w:left="1167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</w:pPr>
                  <w:r w:rsidRPr="003E09FB">
                    <w:rPr>
                      <w:rFonts w:ascii="Times New Roman" w:eastAsia="Courier New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>ЗАТВЕРДЖЕНО</w:t>
                  </w:r>
                  <w:r w:rsidRPr="003E09FB">
                    <w:rPr>
                      <w:rFonts w:ascii="Times New Roman" w:eastAsia="Courier New" w:hAnsi="Times New Roman" w:cs="Times New Roman"/>
                      <w:sz w:val="28"/>
                      <w:szCs w:val="28"/>
                      <w:lang w:eastAsia="uk-UA"/>
                    </w:rPr>
                    <w:br/>
                  </w:r>
                  <w:r w:rsidRPr="003E09FB">
                    <w:rPr>
                      <w:rFonts w:ascii="Times New Roman" w:eastAsia="Courier New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 xml:space="preserve">Рішення Городоцької сільської ради </w:t>
                  </w:r>
                </w:p>
                <w:p w:rsidR="003E09FB" w:rsidRPr="003E09FB" w:rsidRDefault="003E09FB" w:rsidP="003E09FB">
                  <w:pPr>
                    <w:widowControl w:val="0"/>
                    <w:spacing w:after="0" w:line="240" w:lineRule="auto"/>
                    <w:ind w:left="1167"/>
                    <w:jc w:val="both"/>
                    <w:rPr>
                      <w:rFonts w:ascii="Times New Roman" w:eastAsia="Courier New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3E09FB">
                    <w:rPr>
                      <w:rFonts w:ascii="Times New Roman" w:eastAsia="Courier New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>16.12.2025 № 2220</w:t>
                  </w:r>
                </w:p>
              </w:tc>
            </w:tr>
          </w:tbl>
          <w:p w:rsidR="003E09FB" w:rsidRPr="003E09FB" w:rsidRDefault="003E09FB" w:rsidP="003E09F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bookmarkEnd w:id="0"/>
    </w:tbl>
    <w:p w:rsidR="003E09FB" w:rsidRPr="003E09FB" w:rsidRDefault="003E09FB" w:rsidP="003E09FB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3E09FB" w:rsidRPr="003E09FB" w:rsidRDefault="003E09FB" w:rsidP="003E0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</w:t>
      </w:r>
    </w:p>
    <w:p w:rsidR="003E09FB" w:rsidRPr="003E09FB" w:rsidRDefault="003E09FB" w:rsidP="003E0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76030022"/>
      <w:r w:rsidRPr="003E0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розроблення містобудівної документації населених пунктів</w:t>
      </w:r>
    </w:p>
    <w:p w:rsidR="003E09FB" w:rsidRPr="003E09FB" w:rsidRDefault="003E09FB" w:rsidP="003E0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Городоцької територіальної громади на 2026-2028 роки</w:t>
      </w:r>
      <w:bookmarkEnd w:id="1"/>
    </w:p>
    <w:p w:rsidR="003E09FB" w:rsidRPr="003E09FB" w:rsidRDefault="003E09FB" w:rsidP="003E0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9FB" w:rsidRPr="003E09FB" w:rsidRDefault="003E09FB" w:rsidP="003E09FB">
      <w:pPr>
        <w:numPr>
          <w:ilvl w:val="0"/>
          <w:numId w:val="1"/>
        </w:num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09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Паспорт </w:t>
      </w:r>
      <w:r w:rsidRPr="003E09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 w:rsidRPr="003E09F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</w:t>
      </w:r>
      <w:r w:rsidRPr="003E09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E09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розроблення містобудівної документації населених пунктів Городоцької територіальної громади на 2026-2028 роки</w:t>
      </w:r>
    </w:p>
    <w:p w:rsidR="003E09FB" w:rsidRPr="003E09FB" w:rsidRDefault="003E09FB" w:rsidP="003E09FB">
      <w:pPr>
        <w:ind w:right="-5671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416"/>
        <w:gridCol w:w="4537"/>
      </w:tblGrid>
      <w:tr w:rsidR="003E09FB" w:rsidRPr="003E09FB" w:rsidTr="00F466C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Відділ архітектури, земельних відносин та житлово-комунального господарства Городоцької сільської ради</w:t>
            </w:r>
          </w:p>
        </w:tc>
      </w:tr>
      <w:tr w:rsidR="003E09FB" w:rsidRPr="003E09FB" w:rsidTr="00F466C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Закон України «Про регулювання містобудівної діяльності», «Про основи містобудування»</w:t>
            </w:r>
          </w:p>
        </w:tc>
      </w:tr>
      <w:tr w:rsidR="003E09FB" w:rsidRPr="003E09FB" w:rsidTr="00F466C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Відділ архітектури, земельних відносин та житлово-комунального господарства Городоцької сільської ради</w:t>
            </w:r>
          </w:p>
        </w:tc>
      </w:tr>
      <w:tr w:rsidR="003E09FB" w:rsidRPr="003E09FB" w:rsidTr="00F466C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Виконавчий комітет сільської ради</w:t>
            </w:r>
          </w:p>
        </w:tc>
      </w:tr>
      <w:tr w:rsidR="003E09FB" w:rsidRPr="003E09FB" w:rsidTr="00F466C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2026 – 2028 рр.</w:t>
            </w:r>
          </w:p>
        </w:tc>
      </w:tr>
      <w:tr w:rsidR="003E09FB" w:rsidRPr="003E09FB" w:rsidTr="00F466C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2026 рік – І-й етап</w:t>
            </w:r>
          </w:p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2027 рік – ІІ-й етап</w:t>
            </w:r>
          </w:p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2028 рік – ІІІ-й етап</w:t>
            </w:r>
          </w:p>
        </w:tc>
      </w:tr>
      <w:tr w:rsidR="003E09FB" w:rsidRPr="003E09FB" w:rsidTr="00F466C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Перелік бюджетів, які беруть участь у виконанні Програми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Бюджет Городоцької сільської ради, залучені кошти</w:t>
            </w:r>
          </w:p>
        </w:tc>
      </w:tr>
      <w:tr w:rsidR="003E09FB" w:rsidRPr="003E09FB" w:rsidTr="00F466C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8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 тому числі: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10 000,00 тис. грн.</w:t>
            </w:r>
          </w:p>
        </w:tc>
      </w:tr>
      <w:tr w:rsidR="003E09FB" w:rsidRPr="003E09FB" w:rsidTr="00F466C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8.1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кошти бюджету сільської ради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10 000,00 тис. грн.</w:t>
            </w:r>
          </w:p>
        </w:tc>
      </w:tr>
    </w:tbl>
    <w:p w:rsidR="003E09FB" w:rsidRPr="003E09FB" w:rsidRDefault="003E09FB" w:rsidP="003E09FB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09FB" w:rsidRPr="003E09FB" w:rsidRDefault="003E09FB" w:rsidP="003E09FB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Визначення проблеми, на розв’язання</w:t>
      </w:r>
    </w:p>
    <w:p w:rsidR="003E09FB" w:rsidRPr="003E09FB" w:rsidRDefault="003E09FB" w:rsidP="003E09FB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якої спрямована Програма</w:t>
      </w:r>
    </w:p>
    <w:p w:rsidR="003E09FB" w:rsidRPr="003E09FB" w:rsidRDefault="003E09FB" w:rsidP="003E09F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Програма </w:t>
      </w:r>
      <w:r w:rsidRPr="003E0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розроблення містобудівної документації населених пунктів Городоцької територіальної громади на 2026-2028 роки</w:t>
      </w: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(далі – Програма) передбачає виконання вимог Законів України «Про основи містобудування», «Про регулювання містобудівної діяльності», «Про стратегічну екологічну </w:t>
      </w: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оцінку», «Про внесення змін до деяких законодавчих актів України щодо планування використання земель».</w:t>
      </w:r>
    </w:p>
    <w:p w:rsidR="003E09FB" w:rsidRPr="003E09FB" w:rsidRDefault="003E09FB" w:rsidP="003E09F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Статтею 12 Закону України «Про основи містобудування» визначено, що д</w:t>
      </w:r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компетенції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сільських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селищних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міських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 у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сфері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містобудування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на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відповідній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території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належить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затвердження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відповідно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до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законодавства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місцевих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генеральних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планів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населених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планів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зонування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територій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а за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відсутності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затверджених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установленому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законом порядку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планів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зонування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території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-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детальних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планів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територій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3E09FB" w:rsidRPr="003E09FB" w:rsidRDefault="003E09FB" w:rsidP="003E09F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Відповідно до Закону України «Про регулювання містобудівної діяльності» планування територій на місцевому рівні здійснюється шляхом розроблення та затвердження комплексних планів просторового розвитку територій територіальних громад, генеральних планів населених пунктів і детальних планів території, їх оновлення та внесення змін до них.</w:t>
      </w:r>
    </w:p>
    <w:p w:rsidR="003E09FB" w:rsidRPr="003E09FB" w:rsidRDefault="003E09FB" w:rsidP="003E09F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Згідно статті 5 Закону України «Про регулювання містобудівної діяльності» програми розвитку регіонів та населених пунктів, програми господарського, соціального та культурного розвитку повинні узгоджуватися з містобудівною документацією відповідного рівня.</w:t>
      </w:r>
    </w:p>
    <w:p w:rsidR="003E09FB" w:rsidRPr="003E09FB" w:rsidRDefault="003E09FB" w:rsidP="003E09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9FB">
        <w:rPr>
          <w:rFonts w:ascii="Times New Roman" w:eastAsia="Calibri" w:hAnsi="Times New Roman" w:cs="Times New Roman"/>
          <w:sz w:val="28"/>
          <w:szCs w:val="28"/>
        </w:rPr>
        <w:t>Відповідно до Закону України № 711 від 17 червня 2020 року «Про внесення змін до деяких законодавчих актів України щодо планування використання земель», який вступив в дію з 24 липня 2021 року з’явився новий вид містобудівної та одночасно земельної документації – комплексний план просторового розвитку території територіальної громади.</w:t>
      </w:r>
    </w:p>
    <w:p w:rsidR="003E09FB" w:rsidRPr="003E09FB" w:rsidRDefault="003E09FB" w:rsidP="003E09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9FB">
        <w:rPr>
          <w:rFonts w:ascii="Times New Roman" w:eastAsia="Calibri" w:hAnsi="Times New Roman" w:cs="Times New Roman"/>
          <w:sz w:val="28"/>
          <w:szCs w:val="28"/>
        </w:rPr>
        <w:t>Згідно даного комплексного просторового плану планування територій на місцевому рівні здійснюється на основі розроблених та затверджених генеральних планів населених пунктів, планів зонування територій і детальних планів територій.</w:t>
      </w:r>
    </w:p>
    <w:p w:rsidR="003E09FB" w:rsidRPr="003E09FB" w:rsidRDefault="003E09FB" w:rsidP="003E09F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Програма спрямована на забезпечення умов сталого містобудівного, економічного та соціального розвитку населених пунктів Городоцької сільської територіальної громади та вирішення проблемних питань стимулювання, розвитку, раціонального використання територій, визначення черговості і пріоритетної забудови, створення належних умов для життєзабезпечення, уточнення планувальної структури та просторової композиції забудови територій, пріоритетних та допустимих видів використання і забудови територій, збереження історико-культурного середовища.</w:t>
      </w:r>
    </w:p>
    <w:p w:rsidR="003E09FB" w:rsidRPr="003E09FB" w:rsidRDefault="003E09FB" w:rsidP="003E09F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сучасних умовах зростає необхідність у плануванні територій, як ефективного засобу державного регулювання їх використання, що забезпечить взаємоузгодження у цій сфері інтересів приватних громадян суспільства та держави, галузей і адміністративно-територіальних одиниць.</w:t>
      </w:r>
    </w:p>
    <w:p w:rsidR="003E09FB" w:rsidRPr="003E09FB" w:rsidRDefault="003E09FB" w:rsidP="003E09F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Необхідність розроблення Програми обумовлена тим, що відповідно до Закону України «Про регулювання містобудівної діяльності» та Земельного кодексу України використання земельних ділянок для містобудівних потреб здійснюється відповідно до містобудівної документації.</w:t>
      </w:r>
    </w:p>
    <w:p w:rsidR="003E09FB" w:rsidRPr="003E09FB" w:rsidRDefault="003E09FB" w:rsidP="003E09F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даний час не всі населені пункти громади мають містобудівну документацію, а містобудівна документація деяких сіл потребує коригування та </w:t>
      </w: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оновлення. Реалізація Програми має забезпечити вирішення питань планування, забудови та раціонального використання територій населених пунктів громади, створення повноцінного життєвого середовища, комплексного вирішення архітектурно-містобудівних проблем, інвестиційної діяльності фізичних та юридичних осіб, врахування законних приватних, громадських та державних інтересів під час проведення містобудівної діяльності.</w:t>
      </w:r>
    </w:p>
    <w:p w:rsidR="003E09FB" w:rsidRPr="003E09FB" w:rsidRDefault="003E09FB" w:rsidP="003E09F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Програма спрямована на визначення необхідних обсягів фінансування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проєктно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-вишукувальних робіт розробки містобудівної документації - генеральних планів населених пунктів громади, детальних планів територій та іншої містобудівної документації.</w:t>
      </w:r>
    </w:p>
    <w:p w:rsidR="003E09FB" w:rsidRPr="003E09FB" w:rsidRDefault="003E09FB" w:rsidP="003E09F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09FB" w:rsidRPr="003E09FB" w:rsidRDefault="003E09FB" w:rsidP="003E09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9FB">
        <w:rPr>
          <w:rFonts w:ascii="Times New Roman" w:eastAsia="Calibri" w:hAnsi="Times New Roman" w:cs="Times New Roman"/>
          <w:sz w:val="28"/>
          <w:szCs w:val="28"/>
        </w:rPr>
        <w:t>Загальні положення</w:t>
      </w:r>
    </w:p>
    <w:p w:rsidR="003E09FB" w:rsidRPr="003E09FB" w:rsidRDefault="003E09FB" w:rsidP="003E09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9FB">
        <w:rPr>
          <w:rFonts w:ascii="Times New Roman" w:eastAsia="Calibri" w:hAnsi="Times New Roman" w:cs="Times New Roman"/>
          <w:sz w:val="28"/>
          <w:szCs w:val="28"/>
        </w:rPr>
        <w:t>У цій Програмі наведені терміни вживаються у такому значенні:</w:t>
      </w:r>
    </w:p>
    <w:p w:rsidR="003E09FB" w:rsidRPr="003E09FB" w:rsidRDefault="003E09FB" w:rsidP="003E09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9FB">
        <w:rPr>
          <w:rFonts w:ascii="Times New Roman" w:eastAsia="Calibri" w:hAnsi="Times New Roman" w:cs="Times New Roman"/>
          <w:sz w:val="28"/>
          <w:szCs w:val="28"/>
        </w:rPr>
        <w:t>генеральна схема планування території України – містобудівна документація, що визначає концептуальні підходи до вирішення питань планування та використання території України;</w:t>
      </w:r>
    </w:p>
    <w:p w:rsidR="003E09FB" w:rsidRPr="003E09FB" w:rsidRDefault="003E09FB" w:rsidP="003E09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9FB">
        <w:rPr>
          <w:rFonts w:ascii="Times New Roman" w:eastAsia="Calibri" w:hAnsi="Times New Roman" w:cs="Times New Roman"/>
          <w:sz w:val="28"/>
          <w:szCs w:val="28"/>
        </w:rPr>
        <w:t>генеральний план населеного пункту – містобудівна документація, що визначає принципові підходи до вирішення питань розвитку, планування, забудови та іншого використання території населеного пункту;</w:t>
      </w:r>
    </w:p>
    <w:p w:rsidR="003E09FB" w:rsidRPr="003E09FB" w:rsidRDefault="003E09FB" w:rsidP="003E09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9FB">
        <w:rPr>
          <w:rFonts w:ascii="Times New Roman" w:eastAsia="Calibri" w:hAnsi="Times New Roman" w:cs="Times New Roman"/>
          <w:sz w:val="28"/>
          <w:szCs w:val="28"/>
        </w:rPr>
        <w:t>містобудівна документація – затверджені текстові та графічні матеріали з питань регулювання планування, забудови та іншого використання територій;</w:t>
      </w:r>
    </w:p>
    <w:p w:rsidR="003E09FB" w:rsidRPr="003E09FB" w:rsidRDefault="003E09FB" w:rsidP="003E09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9FB">
        <w:rPr>
          <w:rFonts w:ascii="Times New Roman" w:eastAsia="Calibri" w:hAnsi="Times New Roman" w:cs="Times New Roman"/>
          <w:sz w:val="28"/>
          <w:szCs w:val="28"/>
        </w:rPr>
        <w:t xml:space="preserve">містобудівний кадастр – державна система зберігання і використання </w:t>
      </w:r>
      <w:proofErr w:type="spellStart"/>
      <w:r w:rsidRPr="003E09FB">
        <w:rPr>
          <w:rFonts w:ascii="Times New Roman" w:eastAsia="Calibri" w:hAnsi="Times New Roman" w:cs="Times New Roman"/>
          <w:sz w:val="28"/>
          <w:szCs w:val="28"/>
        </w:rPr>
        <w:t>геопросторових</w:t>
      </w:r>
      <w:proofErr w:type="spellEnd"/>
      <w:r w:rsidRPr="003E09FB">
        <w:rPr>
          <w:rFonts w:ascii="Times New Roman" w:eastAsia="Calibri" w:hAnsi="Times New Roman" w:cs="Times New Roman"/>
          <w:sz w:val="28"/>
          <w:szCs w:val="28"/>
        </w:rPr>
        <w:t xml:space="preserve"> даних про територію, адміністративно-територіальні одиниці, екологічні, інженерно-геологічні умови, інформаційних ресурсів державних будівельних норм, стандартів і правил для задоволення інформаційних потреб у плануванні територій та будівництві, формування галузевої складової державних геоінформаційних ресурсів;</w:t>
      </w:r>
    </w:p>
    <w:p w:rsidR="003E09FB" w:rsidRPr="003E09FB" w:rsidRDefault="003E09FB" w:rsidP="003E09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E09FB">
        <w:rPr>
          <w:rFonts w:ascii="Times New Roman" w:eastAsia="Calibri" w:hAnsi="Times New Roman" w:cs="Times New Roman"/>
          <w:sz w:val="28"/>
          <w:szCs w:val="28"/>
        </w:rPr>
        <w:t>проєктна</w:t>
      </w:r>
      <w:proofErr w:type="spellEnd"/>
      <w:r w:rsidRPr="003E09FB">
        <w:rPr>
          <w:rFonts w:ascii="Times New Roman" w:eastAsia="Calibri" w:hAnsi="Times New Roman" w:cs="Times New Roman"/>
          <w:sz w:val="28"/>
          <w:szCs w:val="28"/>
        </w:rPr>
        <w:t xml:space="preserve"> документація – затверджені текстові та графічні матеріали, якими визначаються містобудівні, </w:t>
      </w:r>
      <w:proofErr w:type="spellStart"/>
      <w:r w:rsidRPr="003E09FB">
        <w:rPr>
          <w:rFonts w:ascii="Times New Roman" w:eastAsia="Calibri" w:hAnsi="Times New Roman" w:cs="Times New Roman"/>
          <w:sz w:val="28"/>
          <w:szCs w:val="28"/>
        </w:rPr>
        <w:t>об'ємно</w:t>
      </w:r>
      <w:proofErr w:type="spellEnd"/>
      <w:r w:rsidRPr="003E09FB">
        <w:rPr>
          <w:rFonts w:ascii="Times New Roman" w:eastAsia="Calibri" w:hAnsi="Times New Roman" w:cs="Times New Roman"/>
          <w:sz w:val="28"/>
          <w:szCs w:val="28"/>
        </w:rPr>
        <w:t>-планувальні, архітектурні, конструктивні, технічні, технологічні вирішення, а також кошториси об'єктів будівництва;</w:t>
      </w:r>
    </w:p>
    <w:p w:rsidR="003E09FB" w:rsidRPr="003E09FB" w:rsidRDefault="003E09FB" w:rsidP="003E09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9FB">
        <w:rPr>
          <w:rFonts w:ascii="Times New Roman" w:eastAsia="Calibri" w:hAnsi="Times New Roman" w:cs="Times New Roman"/>
          <w:sz w:val="28"/>
          <w:szCs w:val="28"/>
        </w:rPr>
        <w:t>схеми планування території на регіональному рівні – планувальна документація, яка розробляється на основі Генеральної схеми планування території України та визначає принципові положення розвитку, планування, забудови, використання територій адміністративно-територіальних одиниць та їх окремих частин.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E09F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Планування територій на місцевому рівні забезпечується відповідними місцевими радами та їх виконавчими органами відповідно до повноважень, визначених законом, і полягає у розробленні та затвердженні </w:t>
      </w:r>
      <w:proofErr w:type="spellStart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комплексних</w:t>
      </w:r>
      <w:proofErr w:type="spellEnd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планів</w:t>
      </w:r>
      <w:proofErr w:type="spellEnd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просторового</w:t>
      </w:r>
      <w:proofErr w:type="spellEnd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розвитку</w:t>
      </w:r>
      <w:proofErr w:type="spellEnd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територій</w:t>
      </w:r>
      <w:proofErr w:type="spellEnd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територіальних</w:t>
      </w:r>
      <w:proofErr w:type="spellEnd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громад, </w:t>
      </w:r>
      <w:proofErr w:type="spellStart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генеральних</w:t>
      </w:r>
      <w:proofErr w:type="spellEnd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планів</w:t>
      </w:r>
      <w:proofErr w:type="spellEnd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населених</w:t>
      </w:r>
      <w:proofErr w:type="spellEnd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пунктів</w:t>
      </w:r>
      <w:proofErr w:type="spellEnd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і </w:t>
      </w:r>
      <w:proofErr w:type="spellStart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детальних</w:t>
      </w:r>
      <w:proofErr w:type="spellEnd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планів</w:t>
      </w:r>
      <w:proofErr w:type="spellEnd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території</w:t>
      </w:r>
      <w:proofErr w:type="spellEnd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їх</w:t>
      </w:r>
      <w:proofErr w:type="spellEnd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оновлення</w:t>
      </w:r>
      <w:proofErr w:type="spellEnd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внесення</w:t>
      </w:r>
      <w:proofErr w:type="spellEnd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змін</w:t>
      </w:r>
      <w:proofErr w:type="spellEnd"/>
      <w:r w:rsidRPr="003E09F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до них</w:t>
      </w:r>
      <w:r w:rsidRPr="003E09FB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E09FB">
        <w:rPr>
          <w:rFonts w:ascii="Times New Roman" w:eastAsia="Calibri" w:hAnsi="Times New Roman" w:cs="Times New Roman"/>
          <w:sz w:val="28"/>
          <w:szCs w:val="28"/>
          <w:lang w:eastAsia="uk-UA"/>
        </w:rPr>
        <w:t>Містобудівна документація на місцевому рівні може бути оновлена за рішенням місцевих рад.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bookmarkStart w:id="2" w:name="n143"/>
      <w:bookmarkEnd w:id="2"/>
      <w:r w:rsidRPr="003E09FB">
        <w:rPr>
          <w:rFonts w:ascii="Times New Roman" w:eastAsia="Calibri" w:hAnsi="Times New Roman" w:cs="Times New Roman"/>
          <w:sz w:val="28"/>
          <w:szCs w:val="28"/>
          <w:lang w:eastAsia="uk-UA"/>
        </w:rPr>
        <w:t>Оновлення містобудівної документації передбачає: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bookmarkStart w:id="3" w:name="n144"/>
      <w:bookmarkEnd w:id="3"/>
      <w:r w:rsidRPr="003E09FB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 xml:space="preserve">актуалізацію </w:t>
      </w:r>
      <w:proofErr w:type="spellStart"/>
      <w:r w:rsidRPr="003E09FB">
        <w:rPr>
          <w:rFonts w:ascii="Times New Roman" w:eastAsia="Calibri" w:hAnsi="Times New Roman" w:cs="Times New Roman"/>
          <w:sz w:val="28"/>
          <w:szCs w:val="28"/>
          <w:lang w:eastAsia="uk-UA"/>
        </w:rPr>
        <w:t>картографо</w:t>
      </w:r>
      <w:proofErr w:type="spellEnd"/>
      <w:r w:rsidRPr="003E09FB">
        <w:rPr>
          <w:rFonts w:ascii="Times New Roman" w:eastAsia="Calibri" w:hAnsi="Times New Roman" w:cs="Times New Roman"/>
          <w:sz w:val="28"/>
          <w:szCs w:val="28"/>
          <w:lang w:eastAsia="uk-UA"/>
        </w:rPr>
        <w:t>-геодезичної основи;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bookmarkStart w:id="4" w:name="n145"/>
      <w:bookmarkEnd w:id="4"/>
      <w:r w:rsidRPr="003E09FB">
        <w:rPr>
          <w:rFonts w:ascii="Times New Roman" w:eastAsia="Calibri" w:hAnsi="Times New Roman" w:cs="Times New Roman"/>
          <w:sz w:val="28"/>
          <w:szCs w:val="28"/>
          <w:lang w:eastAsia="uk-UA"/>
        </w:rPr>
        <w:t>перенесення з паперових носіїв у векторну цифрову форму;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bookmarkStart w:id="5" w:name="n146"/>
      <w:bookmarkEnd w:id="5"/>
      <w:r w:rsidRPr="003E09FB">
        <w:rPr>
          <w:rFonts w:ascii="Times New Roman" w:eastAsia="Calibri" w:hAnsi="Times New Roman" w:cs="Times New Roman"/>
          <w:sz w:val="28"/>
          <w:szCs w:val="28"/>
          <w:lang w:eastAsia="uk-UA"/>
        </w:rPr>
        <w:t>приведення містобудівної документації у відповідність із вимогами законодавства в частині формату зберігання та оброблення даних.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Необхідність розроблення, оновлення та внесення змін до містобудівної документації населених пунктів Городоцької територіальної громади виникла у зв’язку з тим, що не всі населені пункти громади мають містобудівну документацію, а містобудівна документація деяких сіл потребує коригування та оновлення.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Крім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того,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необхідність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прийняття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викликана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до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законодавства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у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сфері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містобудівної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діяльності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а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саме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ІІ «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Прикінцевих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перехідних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положень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Закону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України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«Про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внесення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до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деяких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законодавчих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актів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України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щодо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планування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використання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земель».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Комплексний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план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включає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планувальні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щодо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перспективного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використання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всієї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території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територіальної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громади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6" w:name="_Hlk183528182"/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Комплексний план просторового розвитку </w:t>
      </w:r>
      <w:bookmarkEnd w:id="6"/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визначає планувальну організацію, функціональне призначення території, основні принципи і напрями формування єдиної системи громадського обслуговування населення, дорожньої мережі, інженерно-транспортної інфраструктури, інженерної підготовки і благоустрою, цивільного захисту території та населення від небезпечних природних і техногенних процесів, охорони земель та інших компонентів навколишнього природного середовища, формування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екомережі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охорони і збереження культурної спадщини та традиційного характеру середовища населених пунктів, а також послідовність реалізації рішень, у тому числі етапність освоєння території.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E09FB">
        <w:rPr>
          <w:rFonts w:ascii="Times New Roman" w:eastAsia="Calibri" w:hAnsi="Times New Roman" w:cs="Times New Roman"/>
          <w:sz w:val="28"/>
          <w:szCs w:val="28"/>
          <w:lang w:eastAsia="uk-UA"/>
        </w:rPr>
        <w:t>Генеральний план є комплексним планувальним документом, обов'язковим для виконання. Його положення базуються на аналізі й прогнозуванні демографічних, соціально-економічних, природно-географічних, інженерно-технічних, екологічних, санітарно-гігієнічних, історико-культурних факторів і орієнтовані виключно на вирішення питань планування території населених пунктів Городоцької сільської територіальної громади.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Генеральний план населеного пункту є одночасно видом містобудівної документації на місцевому рівні та документацією із землеустрою і призначений для обґрунтування довгострокової стратегії планування та забудови території населеного пункту.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План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зонування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території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розробляється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у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складі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комплексного плану, генерального плану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населеного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пункту з метою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визначення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умов та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обмежень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використання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території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gram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 межах</w:t>
      </w:r>
      <w:proofErr w:type="gram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визначених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функціональних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зон. До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затвердження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генерального плану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населеного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пункту в межах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території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територіальної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громади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щодо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якої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комплексний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план (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якщо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обов’язковість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розроблення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генерального плану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населеного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пункту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визначена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про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затвердження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комплексного плану),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межі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функціональних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зон та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функціональне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призначення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територій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у такому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населеному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визначаються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комплексним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планом.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План зонування території розробляється з метою створення сприятливих умов для життєдіяльності людини, забезпечення захисту територій від надзвичайних ситуацій, запобігання надмірній концентрації населення і об’єктів виробництва, зниження рівня забруднення навколишнього природного середовища, охорони та використання територій з особливим статусом, у тому числі ландшафтів, об’єктів історико</w:t>
      </w:r>
      <w:bookmarkStart w:id="7" w:name="_GoBack"/>
      <w:bookmarkEnd w:id="7"/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-культурної спадщини, а також земель сільськогосподарського призначення і лісів та підлягає стратегічній екологічній оцінці.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зонування території встановлює функціональне призначення, вимоги до забудови окремих територій (функціональних зон) населеного пункту, їх ландшафтної організації.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Детальний план території деталізує положення генерального плану населеного пункту або комплексного плану та визначає планувальну організацію і розвиток частини території населеного пункту або території за його межами без зміни функціонального призначення цієї території. Детальний план території розробляється з урахуванням обмежень у використанні земель, у тому числі обмежень використання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приаеродромної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території, встановлених відповідно до Повітряного кодексу України.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09FB" w:rsidRPr="003E09FB" w:rsidRDefault="003E09FB" w:rsidP="003E09FB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та завдання Програми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Головною метою Програми є розроблення містобудівної документації сучасного рівня для територій Городоцької територіальної громади для забезпечення сталого соціально-економічного розвитку громади.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Завданнями Програми є: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обґрунтування майбутніх потреб та визначення переважних напрямів використання територій;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урахування державних, громадських і приватних інтересів під час планування забудови та іншого використання територій;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обґрунтування розподілу земель за цільовим призначенням та використання територій для містобудівних потреб;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забезпечення раціонального розселення і визначення напрямів сталого розвитку населених пунктів Городоцької територіальної громади;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визначення і раціональне розташування територій житлової та громадської забудови промислових, рекреаційних, природоохоронних територій і об’єктів;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обґрунтування та встановлення режиму раціонального використання земель та забудови територій, на яких передбачена перспективна містобудівна діяльність;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визначення, вилучення (викуп) і надання земельних ділянок для містобудівних потреб на основі містобудівної документації в межах, визначених законом;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визначення територій, що мають особливу екологічну, наукову, естетичну, історико-культурну цінність, встановлення передбачених законодавством обмежень на їх планування, забудову та інше використання;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охорона довкілля та раціональне використання природних ресурсів;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регулювання забудови населених пунктів Городоцької територіальної громади  та використання території.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Матеріали містобудівної документації використовуються як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вихiднi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дані при розробленні іншої планувальної документації та проектів забудови, місцевих правил використання i забудови території населеного пункту,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iнвестицiйних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 i проектів, програм соціально-економічного розвитку, схем визначення земель населених пунктів для приватизації, планів земельно-господарського устрою населених пунктів, спеціальних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проєктів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схем i програм охорони навколишнього природного середовища та здоров’я населення, пам’яток історії i культури, інженерного захисту і підготовки території, комплексних схем транспорту, проектів та схем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органiзацiї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дорожнього руху, систем управління дорожнім рухом, схем розвитку систем інженерного обладнання i галузей сільського господарства, виконанні грошової оцінки земель, створенні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мiстобудiвного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земельного кадастрів, тощо.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Тобто, відсутність містобудівної документації не дозволяє належним чином здійснювати містобудівну діяльність на території Городоцької територіальної громади.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09FB" w:rsidRPr="003E09FB" w:rsidRDefault="003E09FB" w:rsidP="003E09FB">
      <w:pPr>
        <w:numPr>
          <w:ilvl w:val="0"/>
          <w:numId w:val="1"/>
        </w:num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E09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Фінансове забезпечення Програми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Фінансування Програми здійснюється за рахунок коштів бюджету територіальної громади. Окрім цього, фінансування робіт з розроблення Комплексного плану просторового розвитку території територіальної громади, генеральних планів, планів зонування території населених пунктів Городоцької територіальної громади та детальних планів території може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здійснюватись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рахунок інших джерел, не заборонених законодавством.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Коригування Програми щодо фінансового забезпечення її реалізації проводиться згідно з остаточним рахунком коштів відповідно до затвердженої проектно-кошторисної документації.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Програмою визначаються необхідні обсяги фінансування проектно-вишукувальних робіт та черговості розробки містобудівної документації.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Всього на розроблення містобудівної документації з планування населених пунктів Городоцької територіальної громади протягом 2026-2028 років у бюджеті сільської ради необхідно передбачити орієнтовно </w:t>
      </w:r>
      <w:r w:rsidRPr="003E09FB">
        <w:rPr>
          <w:rFonts w:ascii="Times New Roman" w:eastAsia="Times New Roman" w:hAnsi="Times New Roman" w:cs="Times New Roman"/>
          <w:sz w:val="28"/>
          <w:szCs w:val="28"/>
          <w:lang w:eastAsia="uk-UA"/>
        </w:rPr>
        <w:t>10 000,00</w:t>
      </w:r>
      <w:r w:rsidRPr="003E09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тис. грн.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Орієнтовний кошторис робіт з розроблення містобудівної документації наведено в додатку 1 до Програми.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Термін реалізації Програми при наявності фінансування складає 3 (три) роки.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09FB" w:rsidRPr="003E09FB" w:rsidRDefault="003E09FB" w:rsidP="003E09FB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Очікувана ефективність виконання Програми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Підвищення ролі містобудівельної діяльності є питанням актуальним і першочерговим для розвитку сіл Городоцької сільської територіальної громади. 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Нові й оновлені генеральні плани </w:t>
      </w:r>
      <w:proofErr w:type="spellStart"/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створять</w:t>
      </w:r>
      <w:proofErr w:type="spellEnd"/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умови для залучення інвестиційних коштів.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Реалізація завдань, передбачених Програмою, дозволить досягти сталого розвитку з планування території, зокрема: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розв’язати проблему розроблення (оновлення) містобудівної документації;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забезпечити територію населених пунктів планово-висотною основою та картографічними матеріалами на базі національної системи відліку та державної системи координат;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оновити містобудівну документацію – генеральні плани населених пунктів із застосуванням сучасних геоінформаційних технологій, що дозволить сформувати бази даних для роботи муніципальних геоінформаційних систем, що впроваджуються у систему управління територією;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удосконалити механізм державного регулювання процесу оновлення містобудівної документації;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поліпшити роботу щодо збереження, охорони та використання пам’яток архітектури та містобудування, а також районів історичної забудови;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поліпшити інвестиційний клімат у населених пунктах та забезпечити їх збалансований соціально-економічний розвиток;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розробити проектну документацію для створення рекреаційних, історико-культурних територій, об’єктів скверів та окремих зелених насаджень;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реконструкцію існуючої забудови;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створення та розвиток інженерно-транспортної інфраструктури.</w:t>
      </w:r>
    </w:p>
    <w:p w:rsidR="003E09FB" w:rsidRPr="003E09FB" w:rsidRDefault="003E09FB" w:rsidP="003E09F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Ефект від виконання Програми – підвищення соціально-економічної ефективності населених пунктів, поліпшення екологічних параметрів і збереження середовища, вдосконалення архітектурно-естетичних характеристик простору життєдіяльності населення, розроблення містобудівної документації населених пунктів.</w:t>
      </w:r>
    </w:p>
    <w:p w:rsidR="003E09FB" w:rsidRDefault="003E09FB" w:rsidP="003E09FB">
      <w:pPr>
        <w:shd w:val="clear" w:color="auto" w:fill="FFFFFF"/>
        <w:ind w:left="5954" w:right="14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E09FB" w:rsidRPr="003E09FB" w:rsidRDefault="003E09FB" w:rsidP="003E09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09FB">
        <w:rPr>
          <w:rFonts w:ascii="Times New Roman" w:eastAsia="Calibri" w:hAnsi="Times New Roman" w:cs="Times New Roman"/>
          <w:sz w:val="28"/>
          <w:szCs w:val="28"/>
        </w:rPr>
        <w:t>Секретар сільської ради                                                                Людмила СПІВАК</w:t>
      </w:r>
    </w:p>
    <w:p w:rsidR="003E09FB" w:rsidRDefault="003E09FB" w:rsidP="003E09FB">
      <w:pPr>
        <w:shd w:val="clear" w:color="auto" w:fill="FFFFFF"/>
        <w:ind w:left="5954" w:right="14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E09FB" w:rsidRPr="003E09FB" w:rsidRDefault="003E09FB" w:rsidP="003E09FB">
      <w:pPr>
        <w:shd w:val="clear" w:color="auto" w:fill="FFFFFF"/>
        <w:ind w:left="5954" w:right="14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09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Додаток до Програми </w:t>
      </w:r>
    </w:p>
    <w:p w:rsidR="003E09FB" w:rsidRPr="003E09FB" w:rsidRDefault="003E09FB" w:rsidP="003E09FB">
      <w:pPr>
        <w:shd w:val="clear" w:color="auto" w:fill="FFFFFF"/>
        <w:ind w:righ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0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Орієнтовний обсяг коштів, необхідних для розробки містобудівної документації на 2026-2028 рік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984"/>
        <w:gridCol w:w="4117"/>
        <w:gridCol w:w="1856"/>
      </w:tblGrid>
      <w:tr w:rsidR="003E09FB" w:rsidRPr="003E09FB" w:rsidTr="00F466C2">
        <w:tc>
          <w:tcPr>
            <w:tcW w:w="565" w:type="dxa"/>
            <w:shd w:val="clear" w:color="auto" w:fill="auto"/>
            <w:vAlign w:val="center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Перелік заходів програми</w:t>
            </w:r>
          </w:p>
        </w:tc>
        <w:tc>
          <w:tcPr>
            <w:tcW w:w="4267" w:type="dxa"/>
            <w:shd w:val="clear" w:color="auto" w:fill="auto"/>
            <w:vAlign w:val="center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Джерела</w:t>
            </w:r>
          </w:p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фінансування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Орієнтовні обсяги</w:t>
            </w:r>
          </w:p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фінансування</w:t>
            </w:r>
          </w:p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(вартість) </w:t>
            </w:r>
            <w:proofErr w:type="spellStart"/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тис.грн</w:t>
            </w:r>
            <w:proofErr w:type="spellEnd"/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E09FB" w:rsidRPr="003E09FB" w:rsidTr="00F466C2">
        <w:tc>
          <w:tcPr>
            <w:tcW w:w="565" w:type="dxa"/>
            <w:shd w:val="clear" w:color="auto" w:fill="auto"/>
            <w:vAlign w:val="center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Завдання на розроблення, оновлення, внесення змін до містобудівної документації</w:t>
            </w:r>
          </w:p>
        </w:tc>
        <w:tc>
          <w:tcPr>
            <w:tcW w:w="4267" w:type="dxa"/>
            <w:shd w:val="clear" w:color="auto" w:fill="auto"/>
            <w:vAlign w:val="center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Бюджет сільської ради</w:t>
            </w:r>
            <w:r w:rsidRPr="003E09F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кошти юридичних та фізичних осіб, інших джерел, що не заборонені чинним законодавством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500,00</w:t>
            </w:r>
          </w:p>
        </w:tc>
      </w:tr>
      <w:tr w:rsidR="003E09FB" w:rsidRPr="003E09FB" w:rsidTr="00F466C2">
        <w:tc>
          <w:tcPr>
            <w:tcW w:w="565" w:type="dxa"/>
            <w:shd w:val="clear" w:color="auto" w:fill="auto"/>
            <w:vAlign w:val="center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Інженерно-геодезичні вишукування для розробки містобудівної документації</w:t>
            </w:r>
          </w:p>
        </w:tc>
        <w:tc>
          <w:tcPr>
            <w:tcW w:w="4267" w:type="dxa"/>
            <w:shd w:val="clear" w:color="auto" w:fill="auto"/>
            <w:vAlign w:val="center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Бюджет сільської ради, </w:t>
            </w:r>
            <w:r w:rsidRPr="003E09F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кошти юридичних та фізичних осіб, інших джерел, що не заборонені чинним законодавством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2 000,00</w:t>
            </w:r>
          </w:p>
        </w:tc>
      </w:tr>
      <w:tr w:rsidR="003E09FB" w:rsidRPr="003E09FB" w:rsidTr="00F466C2">
        <w:tc>
          <w:tcPr>
            <w:tcW w:w="565" w:type="dxa"/>
            <w:shd w:val="clear" w:color="auto" w:fill="auto"/>
            <w:vAlign w:val="center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Розроблення, оновлення, внесення змін до містобудівної документації населених пунктів територіальної громади</w:t>
            </w:r>
          </w:p>
        </w:tc>
        <w:tc>
          <w:tcPr>
            <w:tcW w:w="4267" w:type="dxa"/>
            <w:shd w:val="clear" w:color="auto" w:fill="auto"/>
            <w:vAlign w:val="center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Бюджет сільської ради, </w:t>
            </w:r>
            <w:r w:rsidRPr="003E09F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кошти юридичних та фізичних осіб, інших джерел, що не заборонені чинним законодавством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3 500,00</w:t>
            </w:r>
          </w:p>
        </w:tc>
      </w:tr>
      <w:tr w:rsidR="003E09FB" w:rsidRPr="003E09FB" w:rsidTr="00F466C2">
        <w:tc>
          <w:tcPr>
            <w:tcW w:w="565" w:type="dxa"/>
            <w:shd w:val="clear" w:color="auto" w:fill="auto"/>
            <w:vAlign w:val="center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58" w:type="dxa"/>
            <w:shd w:val="clear" w:color="auto" w:fill="auto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Розроблення</w:t>
            </w:r>
          </w:p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Комплексного плану просторового розвитку </w:t>
            </w:r>
          </w:p>
        </w:tc>
        <w:tc>
          <w:tcPr>
            <w:tcW w:w="4267" w:type="dxa"/>
            <w:shd w:val="clear" w:color="auto" w:fill="auto"/>
            <w:vAlign w:val="center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Бюджет сільської ради, </w:t>
            </w:r>
            <w:r w:rsidRPr="003E09F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кошти юридичних та фізичних осіб, інших джерел, що не заборонені чинним законодавством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4 000,00</w:t>
            </w:r>
          </w:p>
        </w:tc>
      </w:tr>
      <w:tr w:rsidR="003E09FB" w:rsidRPr="003E09FB" w:rsidTr="00F466C2">
        <w:tc>
          <w:tcPr>
            <w:tcW w:w="565" w:type="dxa"/>
            <w:shd w:val="clear" w:color="auto" w:fill="auto"/>
            <w:vAlign w:val="center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25" w:type="dxa"/>
            <w:gridSpan w:val="2"/>
            <w:shd w:val="clear" w:color="auto" w:fill="auto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E09FB" w:rsidRPr="003E09FB" w:rsidRDefault="003E09FB" w:rsidP="003E0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8" w:name="_Hlk184386175"/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10 000,</w:t>
            </w:r>
            <w:bookmarkEnd w:id="8"/>
            <w:r w:rsidRPr="003E09FB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</w:tr>
    </w:tbl>
    <w:p w:rsidR="003E09FB" w:rsidRPr="003E09FB" w:rsidRDefault="003E09FB" w:rsidP="003E09FB">
      <w:pPr>
        <w:shd w:val="clear" w:color="auto" w:fill="FFFFFF"/>
        <w:ind w:right="142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:rsidR="003E09FB" w:rsidRPr="003E09FB" w:rsidRDefault="003E09FB" w:rsidP="003E09FB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3E09FB">
        <w:rPr>
          <w:rFonts w:ascii="Times New Roman" w:eastAsia="Calibri" w:hAnsi="Times New Roman" w:cs="Times New Roman"/>
          <w:sz w:val="28"/>
          <w:szCs w:val="28"/>
        </w:rPr>
        <w:t>Пояснення до додатку 1</w:t>
      </w:r>
    </w:p>
    <w:p w:rsidR="003E09FB" w:rsidRPr="003E09FB" w:rsidRDefault="003E09FB" w:rsidP="003E09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9FB">
        <w:rPr>
          <w:rFonts w:ascii="Times New Roman" w:eastAsia="Calibri" w:hAnsi="Times New Roman" w:cs="Times New Roman"/>
          <w:sz w:val="28"/>
          <w:szCs w:val="28"/>
        </w:rPr>
        <w:t>Вартість робіт вказана у цінах станом на листопад 2025 року і є орієнтовною. Розрахунок був проведений на основі моніторингу вартості містобудівних, топографо-геодезичних та землевпорядних робіт в межах України. Орієнтована вартість проектно-вишукувальних робіт вказана без врахування уточнених індексів та показників визначення кошторисної вартості проектно-вишукувальних робіт.</w:t>
      </w:r>
    </w:p>
    <w:p w:rsidR="003E09FB" w:rsidRPr="003E09FB" w:rsidRDefault="003E09FB" w:rsidP="003E09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9FB">
        <w:rPr>
          <w:rFonts w:ascii="Times New Roman" w:eastAsia="Calibri" w:hAnsi="Times New Roman" w:cs="Times New Roman"/>
          <w:sz w:val="28"/>
          <w:szCs w:val="28"/>
        </w:rPr>
        <w:t>Дійсна вартість робіт у кожному конкретному випадку буде встановлюватися проектною установою та замовником з урахуванням усіх особливостей та факторів, обумовлених станом розвитку, потреби в територіях громади або території на час виготовлення містобудівної документації.</w:t>
      </w:r>
    </w:p>
    <w:p w:rsidR="003E09FB" w:rsidRPr="003E09FB" w:rsidRDefault="003E09FB" w:rsidP="003E09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09FB">
        <w:rPr>
          <w:rFonts w:ascii="Times New Roman" w:eastAsia="Calibri" w:hAnsi="Times New Roman" w:cs="Times New Roman"/>
          <w:sz w:val="28"/>
          <w:szCs w:val="28"/>
        </w:rPr>
        <w:t>Показники Програми, за необхідності, можуть коригуватися.</w:t>
      </w:r>
    </w:p>
    <w:p w:rsidR="003E09FB" w:rsidRPr="003E09FB" w:rsidRDefault="003E09FB" w:rsidP="003E09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E09FB" w:rsidRPr="003E09FB" w:rsidRDefault="003E09FB" w:rsidP="003E09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09FB">
        <w:rPr>
          <w:rFonts w:ascii="Times New Roman" w:eastAsia="Calibri" w:hAnsi="Times New Roman" w:cs="Times New Roman"/>
          <w:sz w:val="28"/>
          <w:szCs w:val="28"/>
        </w:rPr>
        <w:t>Секретар сільської ради                                                                Людмила СПІВАК</w:t>
      </w:r>
    </w:p>
    <w:p w:rsidR="00287371" w:rsidRDefault="00287371"/>
    <w:sectPr w:rsidR="00287371" w:rsidSect="00815D7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5D7F" w:rsidRDefault="00815D7F" w:rsidP="00815D7F">
      <w:pPr>
        <w:spacing w:after="0" w:line="240" w:lineRule="auto"/>
      </w:pPr>
      <w:r>
        <w:separator/>
      </w:r>
    </w:p>
  </w:endnote>
  <w:endnote w:type="continuationSeparator" w:id="0">
    <w:p w:rsidR="00815D7F" w:rsidRDefault="00815D7F" w:rsidP="0081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5D7F" w:rsidRDefault="00815D7F" w:rsidP="00815D7F">
      <w:pPr>
        <w:spacing w:after="0" w:line="240" w:lineRule="auto"/>
      </w:pPr>
      <w:r>
        <w:separator/>
      </w:r>
    </w:p>
  </w:footnote>
  <w:footnote w:type="continuationSeparator" w:id="0">
    <w:p w:rsidR="00815D7F" w:rsidRDefault="00815D7F" w:rsidP="00815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12092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15D7F" w:rsidRPr="00815D7F" w:rsidRDefault="00815D7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15D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15D7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15D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15D7F">
          <w:rPr>
            <w:rFonts w:ascii="Times New Roman" w:hAnsi="Times New Roman" w:cs="Times New Roman"/>
            <w:sz w:val="24"/>
            <w:szCs w:val="24"/>
          </w:rPr>
          <w:t>2</w:t>
        </w:r>
        <w:r w:rsidRPr="00815D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15D7F" w:rsidRDefault="00815D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F70DDC"/>
    <w:multiLevelType w:val="hybridMultilevel"/>
    <w:tmpl w:val="A4F4B7DC"/>
    <w:lvl w:ilvl="0" w:tplc="1744D49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FB"/>
    <w:rsid w:val="000C3858"/>
    <w:rsid w:val="001F15C3"/>
    <w:rsid w:val="00237993"/>
    <w:rsid w:val="00287371"/>
    <w:rsid w:val="002D1FE3"/>
    <w:rsid w:val="00353EDC"/>
    <w:rsid w:val="003E09FB"/>
    <w:rsid w:val="00815D7F"/>
    <w:rsid w:val="009235BB"/>
    <w:rsid w:val="00984E23"/>
    <w:rsid w:val="009E7901"/>
    <w:rsid w:val="00A17DA8"/>
    <w:rsid w:val="00AB348D"/>
    <w:rsid w:val="00CB5C5B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0E88"/>
  <w15:chartTrackingRefBased/>
  <w15:docId w15:val="{35C7695B-9247-470D-A52A-6A8336FC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D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15D7F"/>
  </w:style>
  <w:style w:type="paragraph" w:styleId="a5">
    <w:name w:val="footer"/>
    <w:basedOn w:val="a"/>
    <w:link w:val="a6"/>
    <w:uiPriority w:val="99"/>
    <w:unhideWhenUsed/>
    <w:rsid w:val="00815D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15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11921</Words>
  <Characters>6795</Characters>
  <Application>Microsoft Office Word</Application>
  <DocSecurity>0</DocSecurity>
  <Lines>56</Lines>
  <Paragraphs>37</Paragraphs>
  <ScaleCrop>false</ScaleCrop>
  <Company>SPecialiST RePack</Company>
  <LinksUpToDate>false</LinksUpToDate>
  <CharactersWithSpaces>18679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Сергій Шеремета</cp:lastModifiedBy>
  <cp:revision>2</cp:revision>
  <dcterms:created xsi:type="dcterms:W3CDTF">2025-12-26T09:40:00Z</dcterms:created>
  <dcterms:modified xsi:type="dcterms:W3CDTF">2025-12-26T09:40:00Z</dcterms:modified>
</cp:coreProperties>
</file>