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n13"/>
    <w:bookmarkEnd w:id="0"/>
    <w:p w:rsidR="00B97A6E" w:rsidRPr="00B97A6E" w:rsidRDefault="00B97A6E" w:rsidP="00B97A6E">
      <w:pPr>
        <w:jc w:val="center"/>
        <w:rPr>
          <w:rFonts w:ascii="Times New Roman" w:hAnsi="Times New Roman" w:cs="Times New Roman"/>
          <w:b/>
          <w:bCs/>
          <w:sz w:val="28"/>
          <w:szCs w:val="28"/>
        </w:rPr>
      </w:pPr>
      <w:r w:rsidRPr="00B97A6E">
        <w:rPr>
          <w:rFonts w:ascii="Times New Roman" w:hAnsi="Times New Roman" w:cs="Times New Roman"/>
          <w:sz w:val="28"/>
          <w:szCs w:val="28"/>
        </w:rPr>
        <w:object w:dxaOrig="67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fillcolor="window">
            <v:imagedata r:id="rId8" o:title=""/>
            <o:lock v:ext="edit" aspectratio="f"/>
          </v:shape>
          <o:OLEObject Type="Embed" ProgID="PBrush" ShapeID="_x0000_i1025" DrawAspect="Content" ObjectID="_1814792701" r:id="rId9"/>
        </w:object>
      </w:r>
    </w:p>
    <w:p w:rsidR="00B97A6E" w:rsidRPr="00B97A6E" w:rsidRDefault="00B97A6E" w:rsidP="0016411D">
      <w:pPr>
        <w:spacing w:line="240" w:lineRule="auto"/>
        <w:jc w:val="center"/>
        <w:rPr>
          <w:rFonts w:ascii="Times New Roman" w:hAnsi="Times New Roman" w:cs="Times New Roman"/>
          <w:b/>
          <w:sz w:val="28"/>
          <w:szCs w:val="28"/>
        </w:rPr>
      </w:pPr>
      <w:r w:rsidRPr="00B97A6E">
        <w:rPr>
          <w:rFonts w:ascii="Times New Roman" w:hAnsi="Times New Roman" w:cs="Times New Roman"/>
          <w:b/>
          <w:sz w:val="28"/>
          <w:szCs w:val="28"/>
        </w:rPr>
        <w:t>ФІНАНСОВИЙ ВІДДІЛ</w:t>
      </w:r>
    </w:p>
    <w:p w:rsidR="00B97A6E" w:rsidRPr="00B97A6E" w:rsidRDefault="00B97A6E" w:rsidP="0016411D">
      <w:pPr>
        <w:spacing w:line="240" w:lineRule="auto"/>
        <w:jc w:val="center"/>
        <w:rPr>
          <w:rFonts w:ascii="Times New Roman" w:hAnsi="Times New Roman" w:cs="Times New Roman"/>
          <w:b/>
          <w:sz w:val="28"/>
          <w:szCs w:val="28"/>
        </w:rPr>
      </w:pPr>
      <w:r w:rsidRPr="00B97A6E">
        <w:rPr>
          <w:rFonts w:ascii="Times New Roman" w:hAnsi="Times New Roman" w:cs="Times New Roman"/>
          <w:b/>
          <w:sz w:val="28"/>
          <w:szCs w:val="28"/>
        </w:rPr>
        <w:t>ГОРОДОЦЬКОЇ СІЛЬСЬКОЇ РАДИ</w:t>
      </w:r>
    </w:p>
    <w:p w:rsidR="00B97A6E" w:rsidRPr="0009287B" w:rsidRDefault="00B97A6E" w:rsidP="0016411D">
      <w:pPr>
        <w:spacing w:line="240" w:lineRule="auto"/>
        <w:jc w:val="center"/>
        <w:rPr>
          <w:rFonts w:ascii="Times New Roman" w:hAnsi="Times New Roman" w:cs="Times New Roman"/>
          <w:b/>
          <w:sz w:val="28"/>
          <w:szCs w:val="28"/>
        </w:rPr>
      </w:pPr>
      <w:r w:rsidRPr="00B97A6E">
        <w:rPr>
          <w:rFonts w:ascii="Times New Roman" w:hAnsi="Times New Roman" w:cs="Times New Roman"/>
          <w:b/>
          <w:sz w:val="28"/>
          <w:szCs w:val="28"/>
        </w:rPr>
        <w:t>РІВНЕНСЬКОГО РАЙОНУ  РІВНЕНСЬКОЇ ОБЛАСТІ</w:t>
      </w:r>
    </w:p>
    <w:p w:rsidR="00B97A6E" w:rsidRPr="0009287B" w:rsidRDefault="00B97A6E" w:rsidP="00B97A6E">
      <w:pPr>
        <w:jc w:val="center"/>
        <w:rPr>
          <w:rFonts w:ascii="Times New Roman" w:hAnsi="Times New Roman" w:cs="Times New Roman"/>
          <w:b/>
          <w:sz w:val="28"/>
          <w:szCs w:val="28"/>
        </w:rPr>
      </w:pPr>
    </w:p>
    <w:p w:rsidR="00B97A6E" w:rsidRPr="00B97A6E" w:rsidRDefault="00B97A6E" w:rsidP="00B97A6E">
      <w:pPr>
        <w:jc w:val="center"/>
        <w:rPr>
          <w:rFonts w:ascii="Times New Roman" w:hAnsi="Times New Roman" w:cs="Times New Roman"/>
          <w:b/>
          <w:sz w:val="28"/>
          <w:szCs w:val="28"/>
        </w:rPr>
      </w:pPr>
      <w:r w:rsidRPr="00B97A6E">
        <w:rPr>
          <w:rFonts w:ascii="Times New Roman" w:hAnsi="Times New Roman" w:cs="Times New Roman"/>
          <w:b/>
          <w:sz w:val="28"/>
          <w:szCs w:val="28"/>
        </w:rPr>
        <w:t>НАКАЗ</w:t>
      </w:r>
    </w:p>
    <w:p w:rsidR="00B97A6E" w:rsidRPr="004B0E71" w:rsidRDefault="00A04D20" w:rsidP="004B0E71">
      <w:pPr>
        <w:rPr>
          <w:rFonts w:ascii="Times New Roman" w:hAnsi="Times New Roman" w:cs="Times New Roman"/>
          <w:b/>
          <w:sz w:val="28"/>
          <w:szCs w:val="28"/>
        </w:rPr>
      </w:pPr>
      <w:r>
        <w:rPr>
          <w:rFonts w:ascii="Times New Roman" w:hAnsi="Times New Roman" w:cs="Times New Roman"/>
          <w:b/>
          <w:sz w:val="28"/>
          <w:szCs w:val="28"/>
        </w:rPr>
        <w:t xml:space="preserve">21 липня  </w:t>
      </w:r>
      <w:r w:rsidR="00B97A6E" w:rsidRPr="004B0E71">
        <w:rPr>
          <w:rFonts w:ascii="Times New Roman" w:hAnsi="Times New Roman" w:cs="Times New Roman"/>
          <w:b/>
          <w:sz w:val="28"/>
          <w:szCs w:val="28"/>
        </w:rPr>
        <w:t xml:space="preserve">2025 року     </w:t>
      </w:r>
      <w:r>
        <w:rPr>
          <w:rFonts w:ascii="Times New Roman" w:hAnsi="Times New Roman" w:cs="Times New Roman"/>
          <w:b/>
          <w:sz w:val="28"/>
          <w:szCs w:val="28"/>
        </w:rPr>
        <w:t xml:space="preserve">              </w:t>
      </w:r>
      <w:r w:rsidR="00B97A6E" w:rsidRPr="004B0E71">
        <w:rPr>
          <w:rFonts w:ascii="Times New Roman" w:hAnsi="Times New Roman" w:cs="Times New Roman"/>
          <w:b/>
          <w:sz w:val="28"/>
          <w:szCs w:val="28"/>
        </w:rPr>
        <w:t xml:space="preserve">      </w:t>
      </w:r>
      <w:proofErr w:type="spellStart"/>
      <w:r w:rsidR="004B0E71">
        <w:rPr>
          <w:rFonts w:ascii="Times New Roman" w:hAnsi="Times New Roman" w:cs="Times New Roman"/>
          <w:b/>
          <w:sz w:val="28"/>
          <w:szCs w:val="28"/>
        </w:rPr>
        <w:t>с.Городок</w:t>
      </w:r>
      <w:proofErr w:type="spellEnd"/>
      <w:r w:rsidR="00B97A6E" w:rsidRPr="004B0E71">
        <w:rPr>
          <w:rFonts w:ascii="Times New Roman" w:hAnsi="Times New Roman" w:cs="Times New Roman"/>
          <w:b/>
          <w:sz w:val="28"/>
          <w:szCs w:val="28"/>
        </w:rPr>
        <w:t xml:space="preserve">                          </w:t>
      </w:r>
      <w:r w:rsidR="004B0E71">
        <w:rPr>
          <w:rFonts w:ascii="Times New Roman" w:hAnsi="Times New Roman" w:cs="Times New Roman"/>
          <w:b/>
          <w:sz w:val="28"/>
          <w:szCs w:val="28"/>
        </w:rPr>
        <w:t xml:space="preserve">        </w:t>
      </w:r>
      <w:r>
        <w:rPr>
          <w:rFonts w:ascii="Times New Roman" w:hAnsi="Times New Roman" w:cs="Times New Roman"/>
          <w:b/>
          <w:sz w:val="28"/>
          <w:szCs w:val="28"/>
        </w:rPr>
        <w:t xml:space="preserve">   №3</w:t>
      </w:r>
    </w:p>
    <w:p w:rsidR="00B97A6E" w:rsidRPr="004B0E71" w:rsidRDefault="00B97A6E" w:rsidP="004B0E71">
      <w:pPr>
        <w:rPr>
          <w:rFonts w:ascii="Times New Roman" w:hAnsi="Times New Roman" w:cs="Times New Roman"/>
          <w:b/>
          <w:sz w:val="28"/>
          <w:szCs w:val="28"/>
        </w:rPr>
      </w:pPr>
    </w:p>
    <w:p w:rsidR="00B97A6E" w:rsidRPr="00E253AD" w:rsidRDefault="00B97A6E" w:rsidP="0016411D">
      <w:pPr>
        <w:pStyle w:val="ac"/>
        <w:jc w:val="both"/>
        <w:rPr>
          <w:rFonts w:ascii="Times New Roman" w:hAnsi="Times New Roman" w:cs="Times New Roman"/>
          <w:b/>
          <w:sz w:val="28"/>
          <w:szCs w:val="28"/>
        </w:rPr>
      </w:pPr>
      <w:r w:rsidRPr="00E253AD">
        <w:rPr>
          <w:rFonts w:ascii="Times New Roman" w:hAnsi="Times New Roman" w:cs="Times New Roman"/>
          <w:b/>
          <w:sz w:val="28"/>
          <w:szCs w:val="28"/>
        </w:rPr>
        <w:t>Про затвердження Інструкції</w:t>
      </w:r>
    </w:p>
    <w:p w:rsidR="00B97A6E" w:rsidRPr="00E253AD" w:rsidRDefault="00B97A6E" w:rsidP="0016411D">
      <w:pPr>
        <w:pStyle w:val="ac"/>
        <w:jc w:val="both"/>
        <w:rPr>
          <w:rFonts w:ascii="Times New Roman" w:hAnsi="Times New Roman" w:cs="Times New Roman"/>
          <w:b/>
          <w:sz w:val="28"/>
          <w:szCs w:val="28"/>
        </w:rPr>
      </w:pPr>
      <w:r w:rsidRPr="00E253AD">
        <w:rPr>
          <w:rFonts w:ascii="Times New Roman" w:hAnsi="Times New Roman" w:cs="Times New Roman"/>
          <w:b/>
          <w:sz w:val="28"/>
          <w:szCs w:val="28"/>
        </w:rPr>
        <w:t xml:space="preserve">з підготовки бюджетної  </w:t>
      </w:r>
    </w:p>
    <w:p w:rsidR="00B97A6E" w:rsidRPr="00E253AD" w:rsidRDefault="00B97A6E" w:rsidP="0016411D">
      <w:pPr>
        <w:pStyle w:val="ac"/>
        <w:jc w:val="both"/>
        <w:rPr>
          <w:rFonts w:ascii="Times New Roman" w:hAnsi="Times New Roman" w:cs="Times New Roman"/>
          <w:b/>
          <w:sz w:val="28"/>
          <w:szCs w:val="28"/>
        </w:rPr>
      </w:pPr>
      <w:r w:rsidRPr="00E253AD">
        <w:rPr>
          <w:rFonts w:ascii="Times New Roman" w:hAnsi="Times New Roman" w:cs="Times New Roman"/>
          <w:b/>
          <w:sz w:val="28"/>
          <w:szCs w:val="28"/>
        </w:rPr>
        <w:t>пропозиції до прогнозу</w:t>
      </w:r>
    </w:p>
    <w:p w:rsidR="00B97A6E" w:rsidRPr="00E253AD" w:rsidRDefault="00B97A6E" w:rsidP="0016411D">
      <w:pPr>
        <w:pStyle w:val="ac"/>
        <w:jc w:val="both"/>
        <w:rPr>
          <w:rFonts w:ascii="Times New Roman" w:hAnsi="Times New Roman" w:cs="Times New Roman"/>
          <w:b/>
          <w:sz w:val="28"/>
          <w:szCs w:val="28"/>
        </w:rPr>
      </w:pPr>
      <w:r w:rsidRPr="00E253AD">
        <w:rPr>
          <w:rFonts w:ascii="Times New Roman" w:hAnsi="Times New Roman" w:cs="Times New Roman"/>
          <w:b/>
          <w:sz w:val="28"/>
          <w:szCs w:val="28"/>
        </w:rPr>
        <w:t>бюджету Городоцької сільської</w:t>
      </w:r>
    </w:p>
    <w:p w:rsidR="00B97A6E" w:rsidRPr="00E253AD" w:rsidRDefault="00B97A6E" w:rsidP="0016411D">
      <w:pPr>
        <w:pStyle w:val="ac"/>
        <w:jc w:val="both"/>
        <w:rPr>
          <w:rFonts w:ascii="Times New Roman" w:hAnsi="Times New Roman" w:cs="Times New Roman"/>
          <w:b/>
          <w:sz w:val="28"/>
          <w:szCs w:val="28"/>
        </w:rPr>
      </w:pPr>
      <w:r w:rsidRPr="00E253AD">
        <w:rPr>
          <w:rFonts w:ascii="Times New Roman" w:hAnsi="Times New Roman" w:cs="Times New Roman"/>
          <w:b/>
          <w:sz w:val="28"/>
          <w:szCs w:val="28"/>
        </w:rPr>
        <w:t>територіальної громади   </w:t>
      </w:r>
    </w:p>
    <w:p w:rsidR="0016411D" w:rsidRDefault="0016411D" w:rsidP="0016411D">
      <w:pPr>
        <w:pStyle w:val="ac"/>
        <w:ind w:firstLine="567"/>
        <w:jc w:val="both"/>
        <w:rPr>
          <w:rFonts w:ascii="Times New Roman" w:hAnsi="Times New Roman" w:cs="Times New Roman"/>
          <w:sz w:val="28"/>
          <w:szCs w:val="28"/>
        </w:rPr>
      </w:pPr>
    </w:p>
    <w:p w:rsidR="00B97A6E" w:rsidRPr="0016411D" w:rsidRDefault="00B97A6E" w:rsidP="0016411D">
      <w:pPr>
        <w:pStyle w:val="ac"/>
        <w:ind w:firstLine="567"/>
        <w:jc w:val="both"/>
        <w:rPr>
          <w:rFonts w:ascii="Times New Roman" w:hAnsi="Times New Roman" w:cs="Times New Roman"/>
          <w:sz w:val="28"/>
          <w:szCs w:val="28"/>
        </w:rPr>
      </w:pPr>
      <w:r w:rsidRPr="0016411D">
        <w:rPr>
          <w:rFonts w:ascii="Times New Roman" w:hAnsi="Times New Roman" w:cs="Times New Roman"/>
          <w:sz w:val="28"/>
          <w:szCs w:val="28"/>
        </w:rPr>
        <w:t xml:space="preserve">На виконання статті 751 Бюджетного Кодексу України, наказу Міністерства  фінансів України від 06 жовтня 2023 року №534 «Про затвердження  Інструкції  щодо  підготовки  бюджетної пропозиції», «Методичних рекомендацій щодо організації  середньострокового  бюджетного планування на місцевому рівні» затверджених  наказом Міністерства фінансів України від 23 травня 2025 року №271керуючись Положенням про фінансовий відділ Городоцької </w:t>
      </w:r>
      <w:r w:rsidR="0016411D">
        <w:rPr>
          <w:rFonts w:ascii="Times New Roman" w:hAnsi="Times New Roman" w:cs="Times New Roman"/>
          <w:sz w:val="28"/>
          <w:szCs w:val="28"/>
        </w:rPr>
        <w:t xml:space="preserve"> сільської ради</w:t>
      </w:r>
      <w:r w:rsidRPr="0016411D">
        <w:rPr>
          <w:rFonts w:ascii="Times New Roman" w:hAnsi="Times New Roman" w:cs="Times New Roman"/>
          <w:sz w:val="28"/>
          <w:szCs w:val="28"/>
        </w:rPr>
        <w:t>:</w:t>
      </w:r>
    </w:p>
    <w:p w:rsidR="00B97A6E" w:rsidRPr="0016411D" w:rsidRDefault="00B97A6E" w:rsidP="0016411D">
      <w:pPr>
        <w:pStyle w:val="ac"/>
        <w:jc w:val="both"/>
        <w:rPr>
          <w:rFonts w:ascii="Times New Roman" w:hAnsi="Times New Roman" w:cs="Times New Roman"/>
          <w:sz w:val="28"/>
          <w:szCs w:val="28"/>
        </w:rPr>
      </w:pPr>
    </w:p>
    <w:p w:rsidR="00B97A6E" w:rsidRPr="0016411D" w:rsidRDefault="00B97A6E" w:rsidP="0016411D">
      <w:pPr>
        <w:pStyle w:val="ac"/>
        <w:jc w:val="both"/>
        <w:rPr>
          <w:rFonts w:ascii="Times New Roman" w:hAnsi="Times New Roman" w:cs="Times New Roman"/>
          <w:sz w:val="28"/>
          <w:szCs w:val="28"/>
        </w:rPr>
      </w:pPr>
      <w:r w:rsidRPr="0016411D">
        <w:rPr>
          <w:rFonts w:ascii="Times New Roman" w:hAnsi="Times New Roman" w:cs="Times New Roman"/>
          <w:sz w:val="28"/>
          <w:szCs w:val="28"/>
        </w:rPr>
        <w:t>НАКАЗУЮ:</w:t>
      </w:r>
    </w:p>
    <w:p w:rsidR="00B97A6E" w:rsidRPr="0016411D" w:rsidRDefault="00B97A6E" w:rsidP="0016411D">
      <w:pPr>
        <w:pStyle w:val="ac"/>
        <w:jc w:val="both"/>
        <w:rPr>
          <w:rFonts w:ascii="Times New Roman" w:hAnsi="Times New Roman" w:cs="Times New Roman"/>
          <w:sz w:val="28"/>
          <w:szCs w:val="28"/>
        </w:rPr>
      </w:pPr>
    </w:p>
    <w:p w:rsidR="00B97A6E" w:rsidRPr="0016411D" w:rsidRDefault="00B97A6E" w:rsidP="0016411D">
      <w:pPr>
        <w:pStyle w:val="ac"/>
        <w:ind w:firstLine="567"/>
        <w:jc w:val="both"/>
        <w:rPr>
          <w:rFonts w:ascii="Times New Roman" w:hAnsi="Times New Roman" w:cs="Times New Roman"/>
          <w:sz w:val="28"/>
          <w:szCs w:val="28"/>
        </w:rPr>
      </w:pPr>
      <w:r w:rsidRPr="0016411D">
        <w:rPr>
          <w:rFonts w:ascii="Times New Roman" w:hAnsi="Times New Roman" w:cs="Times New Roman"/>
          <w:sz w:val="28"/>
          <w:szCs w:val="28"/>
        </w:rPr>
        <w:t>1. Затвердити Інструкцію з підготовки бюджетної пропозиції до прогнозу бюджету Городоцької сільської територіальної громади , що додається.</w:t>
      </w:r>
    </w:p>
    <w:p w:rsidR="00B97A6E" w:rsidRPr="0016411D" w:rsidRDefault="00B97A6E" w:rsidP="0016411D">
      <w:pPr>
        <w:pStyle w:val="ac"/>
        <w:ind w:firstLine="567"/>
        <w:jc w:val="both"/>
        <w:rPr>
          <w:rFonts w:ascii="Times New Roman" w:hAnsi="Times New Roman" w:cs="Times New Roman"/>
          <w:sz w:val="28"/>
          <w:szCs w:val="28"/>
        </w:rPr>
      </w:pPr>
      <w:r w:rsidRPr="0016411D">
        <w:rPr>
          <w:rFonts w:ascii="Times New Roman" w:hAnsi="Times New Roman" w:cs="Times New Roman"/>
          <w:sz w:val="28"/>
          <w:szCs w:val="28"/>
        </w:rPr>
        <w:t> </w:t>
      </w:r>
    </w:p>
    <w:p w:rsidR="00B97A6E" w:rsidRPr="0016411D" w:rsidRDefault="00B97A6E" w:rsidP="0016411D">
      <w:pPr>
        <w:pStyle w:val="ac"/>
        <w:ind w:firstLine="567"/>
        <w:jc w:val="both"/>
        <w:rPr>
          <w:rFonts w:ascii="Times New Roman" w:hAnsi="Times New Roman" w:cs="Times New Roman"/>
          <w:sz w:val="28"/>
          <w:szCs w:val="28"/>
        </w:rPr>
      </w:pPr>
      <w:r w:rsidRPr="0016411D">
        <w:rPr>
          <w:rFonts w:ascii="Times New Roman" w:hAnsi="Times New Roman" w:cs="Times New Roman"/>
          <w:sz w:val="28"/>
          <w:szCs w:val="28"/>
        </w:rPr>
        <w:t xml:space="preserve">2. Головному спеціалісту фінансового відділу Валентині </w:t>
      </w:r>
      <w:proofErr w:type="spellStart"/>
      <w:r w:rsidRPr="0016411D">
        <w:rPr>
          <w:rFonts w:ascii="Times New Roman" w:hAnsi="Times New Roman" w:cs="Times New Roman"/>
          <w:sz w:val="28"/>
          <w:szCs w:val="28"/>
        </w:rPr>
        <w:t>Минюк</w:t>
      </w:r>
      <w:proofErr w:type="spellEnd"/>
      <w:r w:rsidRPr="0016411D">
        <w:rPr>
          <w:rFonts w:ascii="Times New Roman" w:hAnsi="Times New Roman" w:cs="Times New Roman"/>
          <w:sz w:val="28"/>
          <w:szCs w:val="28"/>
        </w:rPr>
        <w:t xml:space="preserve"> забезпечити оприлюднення цього наказу на офіційному веб-сайті Городоцької сільської ради та довести його до відома головних розпорядників коштів бюджету Городоцької сільської територіальної громади.</w:t>
      </w:r>
    </w:p>
    <w:p w:rsidR="00B97A6E" w:rsidRPr="0016411D" w:rsidRDefault="00B97A6E" w:rsidP="0016411D">
      <w:pPr>
        <w:pStyle w:val="ac"/>
        <w:ind w:firstLine="567"/>
        <w:jc w:val="both"/>
        <w:rPr>
          <w:rFonts w:ascii="Times New Roman" w:hAnsi="Times New Roman" w:cs="Times New Roman"/>
          <w:sz w:val="28"/>
          <w:szCs w:val="28"/>
        </w:rPr>
      </w:pPr>
      <w:r w:rsidRPr="0016411D">
        <w:rPr>
          <w:rFonts w:ascii="Times New Roman" w:hAnsi="Times New Roman" w:cs="Times New Roman"/>
          <w:sz w:val="28"/>
          <w:szCs w:val="28"/>
        </w:rPr>
        <w:t> </w:t>
      </w:r>
    </w:p>
    <w:p w:rsidR="00B97A6E" w:rsidRPr="0016411D" w:rsidRDefault="00B97A6E" w:rsidP="0016411D">
      <w:pPr>
        <w:pStyle w:val="ac"/>
        <w:ind w:firstLine="567"/>
        <w:jc w:val="both"/>
        <w:rPr>
          <w:rFonts w:ascii="Times New Roman" w:hAnsi="Times New Roman" w:cs="Times New Roman"/>
          <w:sz w:val="28"/>
          <w:szCs w:val="28"/>
        </w:rPr>
      </w:pPr>
      <w:r w:rsidRPr="0016411D">
        <w:rPr>
          <w:rFonts w:ascii="Times New Roman" w:hAnsi="Times New Roman" w:cs="Times New Roman"/>
          <w:sz w:val="28"/>
          <w:szCs w:val="28"/>
        </w:rPr>
        <w:t>3. Контроль за виконанням цього наказу залишаю за собою.</w:t>
      </w:r>
    </w:p>
    <w:p w:rsidR="00B97A6E" w:rsidRPr="0016411D" w:rsidRDefault="00B97A6E" w:rsidP="0016411D">
      <w:pPr>
        <w:pStyle w:val="ac"/>
        <w:jc w:val="both"/>
        <w:rPr>
          <w:rFonts w:ascii="Times New Roman" w:hAnsi="Times New Roman" w:cs="Times New Roman"/>
          <w:sz w:val="28"/>
          <w:szCs w:val="28"/>
        </w:rPr>
      </w:pPr>
      <w:r w:rsidRPr="0016411D">
        <w:rPr>
          <w:rFonts w:ascii="Times New Roman" w:hAnsi="Times New Roman" w:cs="Times New Roman"/>
          <w:sz w:val="28"/>
          <w:szCs w:val="28"/>
        </w:rPr>
        <w:t> </w:t>
      </w:r>
    </w:p>
    <w:p w:rsidR="00B97A6E" w:rsidRPr="0016411D" w:rsidRDefault="00B97A6E" w:rsidP="0016411D">
      <w:pPr>
        <w:pStyle w:val="ac"/>
        <w:jc w:val="both"/>
        <w:rPr>
          <w:rFonts w:ascii="Times New Roman" w:hAnsi="Times New Roman" w:cs="Times New Roman"/>
          <w:sz w:val="28"/>
          <w:szCs w:val="28"/>
        </w:rPr>
      </w:pPr>
      <w:r w:rsidRPr="0016411D">
        <w:rPr>
          <w:rFonts w:ascii="Times New Roman" w:hAnsi="Times New Roman" w:cs="Times New Roman"/>
          <w:sz w:val="28"/>
          <w:szCs w:val="28"/>
        </w:rPr>
        <w:t> </w:t>
      </w:r>
    </w:p>
    <w:p w:rsidR="00B97A6E" w:rsidRPr="0016411D" w:rsidRDefault="00B97A6E" w:rsidP="0016411D">
      <w:pPr>
        <w:pStyle w:val="ac"/>
        <w:jc w:val="both"/>
        <w:rPr>
          <w:rFonts w:ascii="Times New Roman" w:hAnsi="Times New Roman" w:cs="Times New Roman"/>
          <w:sz w:val="28"/>
          <w:szCs w:val="28"/>
        </w:rPr>
      </w:pPr>
      <w:r w:rsidRPr="0016411D">
        <w:rPr>
          <w:rFonts w:ascii="Times New Roman" w:hAnsi="Times New Roman" w:cs="Times New Roman"/>
          <w:sz w:val="28"/>
          <w:szCs w:val="28"/>
        </w:rPr>
        <w:t> </w:t>
      </w:r>
    </w:p>
    <w:p w:rsidR="00B97A6E" w:rsidRPr="0016411D" w:rsidRDefault="00B97A6E" w:rsidP="0016411D">
      <w:pPr>
        <w:pStyle w:val="ac"/>
        <w:jc w:val="both"/>
        <w:rPr>
          <w:rFonts w:ascii="Times New Roman" w:hAnsi="Times New Roman" w:cs="Times New Roman"/>
          <w:sz w:val="28"/>
          <w:szCs w:val="28"/>
        </w:rPr>
      </w:pPr>
      <w:r w:rsidRPr="0016411D">
        <w:rPr>
          <w:rFonts w:ascii="Times New Roman" w:hAnsi="Times New Roman" w:cs="Times New Roman"/>
          <w:sz w:val="28"/>
          <w:szCs w:val="28"/>
        </w:rPr>
        <w:t>Начальник</w:t>
      </w:r>
      <w:r w:rsidR="0016411D">
        <w:rPr>
          <w:rFonts w:ascii="Times New Roman" w:hAnsi="Times New Roman" w:cs="Times New Roman"/>
          <w:sz w:val="28"/>
          <w:szCs w:val="28"/>
        </w:rPr>
        <w:t xml:space="preserve"> </w:t>
      </w:r>
      <w:r w:rsidRPr="0016411D">
        <w:rPr>
          <w:rFonts w:ascii="Times New Roman" w:hAnsi="Times New Roman" w:cs="Times New Roman"/>
          <w:sz w:val="28"/>
          <w:szCs w:val="28"/>
        </w:rPr>
        <w:t>відділу                                                               </w:t>
      </w:r>
      <w:r w:rsidR="0016411D">
        <w:rPr>
          <w:rFonts w:ascii="Times New Roman" w:hAnsi="Times New Roman" w:cs="Times New Roman"/>
          <w:sz w:val="28"/>
          <w:szCs w:val="28"/>
        </w:rPr>
        <w:t xml:space="preserve">    </w:t>
      </w:r>
      <w:r w:rsidRPr="0016411D">
        <w:rPr>
          <w:rFonts w:ascii="Times New Roman" w:hAnsi="Times New Roman" w:cs="Times New Roman"/>
          <w:sz w:val="28"/>
          <w:szCs w:val="28"/>
        </w:rPr>
        <w:t>  Ірина ІЛЛЮК</w:t>
      </w:r>
    </w:p>
    <w:p w:rsidR="00B97A6E" w:rsidRPr="004B0E71" w:rsidRDefault="00B97A6E" w:rsidP="004B0E71"/>
    <w:p w:rsidR="00A34CA8" w:rsidRPr="00B97A6E" w:rsidRDefault="00A34CA8" w:rsidP="0009287B">
      <w:pPr>
        <w:pStyle w:val="a3"/>
        <w:shd w:val="clear" w:color="auto" w:fill="FFFFFF"/>
        <w:spacing w:before="0" w:beforeAutospacing="0" w:after="0" w:afterAutospacing="0"/>
        <w:ind w:left="5387"/>
        <w:jc w:val="both"/>
        <w:rPr>
          <w:color w:val="000000"/>
          <w:sz w:val="28"/>
          <w:szCs w:val="28"/>
          <w:bdr w:val="none" w:sz="0" w:space="0" w:color="auto" w:frame="1"/>
          <w:shd w:val="clear" w:color="auto" w:fill="FFFFFF"/>
        </w:rPr>
      </w:pPr>
      <w:r w:rsidRPr="00B97A6E">
        <w:rPr>
          <w:color w:val="000000"/>
          <w:sz w:val="28"/>
          <w:szCs w:val="28"/>
          <w:bdr w:val="none" w:sz="0" w:space="0" w:color="auto" w:frame="1"/>
          <w:shd w:val="clear" w:color="auto" w:fill="FFFFFF"/>
        </w:rPr>
        <w:lastRenderedPageBreak/>
        <w:t>Додаток</w:t>
      </w:r>
      <w:r w:rsidR="00030A51" w:rsidRPr="00B97A6E">
        <w:rPr>
          <w:color w:val="000000"/>
          <w:sz w:val="28"/>
          <w:szCs w:val="28"/>
          <w:bdr w:val="none" w:sz="0" w:space="0" w:color="auto" w:frame="1"/>
          <w:shd w:val="clear" w:color="auto" w:fill="FFFFFF"/>
        </w:rPr>
        <w:t xml:space="preserve"> </w:t>
      </w:r>
    </w:p>
    <w:p w:rsidR="00D20656" w:rsidRDefault="00030A51" w:rsidP="0009287B">
      <w:pPr>
        <w:pStyle w:val="a3"/>
        <w:shd w:val="clear" w:color="auto" w:fill="FFFFFF"/>
        <w:spacing w:before="0" w:beforeAutospacing="0" w:after="0" w:afterAutospacing="0"/>
        <w:ind w:left="5387"/>
        <w:jc w:val="both"/>
        <w:rPr>
          <w:color w:val="000000"/>
          <w:sz w:val="28"/>
          <w:szCs w:val="28"/>
          <w:bdr w:val="none" w:sz="0" w:space="0" w:color="auto" w:frame="1"/>
          <w:shd w:val="clear" w:color="auto" w:fill="FFFFFF"/>
        </w:rPr>
      </w:pPr>
      <w:r w:rsidRPr="00B97A6E">
        <w:rPr>
          <w:color w:val="000000"/>
          <w:sz w:val="28"/>
          <w:szCs w:val="28"/>
          <w:bdr w:val="none" w:sz="0" w:space="0" w:color="auto" w:frame="1"/>
          <w:shd w:val="clear" w:color="auto" w:fill="FFFFFF"/>
        </w:rPr>
        <w:t>до наказу фінансового відділу</w:t>
      </w:r>
      <w:r w:rsidR="00E253AD">
        <w:rPr>
          <w:color w:val="000000"/>
          <w:sz w:val="28"/>
          <w:szCs w:val="28"/>
          <w:bdr w:val="none" w:sz="0" w:space="0" w:color="auto" w:frame="1"/>
          <w:shd w:val="clear" w:color="auto" w:fill="FFFFFF"/>
        </w:rPr>
        <w:t xml:space="preserve"> </w:t>
      </w:r>
    </w:p>
    <w:p w:rsidR="00030A51" w:rsidRPr="00B97A6E" w:rsidRDefault="00E253AD" w:rsidP="0009287B">
      <w:pPr>
        <w:pStyle w:val="a3"/>
        <w:shd w:val="clear" w:color="auto" w:fill="FFFFFF"/>
        <w:spacing w:before="0" w:beforeAutospacing="0" w:after="0" w:afterAutospacing="0"/>
        <w:ind w:left="538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сільської ради</w:t>
      </w:r>
    </w:p>
    <w:p w:rsidR="00030A51" w:rsidRPr="00B97A6E" w:rsidRDefault="003B7D0A" w:rsidP="0009287B">
      <w:pPr>
        <w:pStyle w:val="a3"/>
        <w:shd w:val="clear" w:color="auto" w:fill="FFFFFF"/>
        <w:spacing w:before="0" w:beforeAutospacing="0" w:after="0" w:afterAutospacing="0"/>
        <w:ind w:left="538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21 липня   2025 року №3    </w:t>
      </w:r>
    </w:p>
    <w:p w:rsidR="0016411D" w:rsidRPr="00D20656" w:rsidRDefault="0016411D" w:rsidP="00D20656">
      <w:pPr>
        <w:pStyle w:val="a3"/>
        <w:shd w:val="clear" w:color="auto" w:fill="FFFFFF"/>
        <w:spacing w:before="0" w:beforeAutospacing="0" w:after="0" w:afterAutospacing="0"/>
        <w:ind w:firstLine="709"/>
        <w:jc w:val="right"/>
        <w:rPr>
          <w:color w:val="000000"/>
          <w:bdr w:val="none" w:sz="0" w:space="0" w:color="auto" w:frame="1"/>
          <w:shd w:val="clear" w:color="auto" w:fill="FFFFFF"/>
        </w:rPr>
      </w:pPr>
    </w:p>
    <w:p w:rsidR="00FA42A6" w:rsidRPr="00B97A6E" w:rsidRDefault="00FA42A6" w:rsidP="00FA42A6">
      <w:pPr>
        <w:pStyle w:val="rvps6"/>
        <w:shd w:val="clear" w:color="auto" w:fill="FFFFFF"/>
        <w:spacing w:before="0" w:beforeAutospacing="0" w:after="0" w:afterAutospacing="0"/>
        <w:jc w:val="center"/>
        <w:rPr>
          <w:rStyle w:val="rvts23"/>
          <w:b/>
          <w:bCs/>
          <w:sz w:val="28"/>
          <w:szCs w:val="28"/>
          <w:lang w:val="uk-UA"/>
        </w:rPr>
      </w:pPr>
      <w:r w:rsidRPr="00B97A6E">
        <w:rPr>
          <w:rStyle w:val="rvts23"/>
          <w:b/>
          <w:bCs/>
          <w:sz w:val="28"/>
          <w:szCs w:val="28"/>
          <w:lang w:val="uk-UA"/>
        </w:rPr>
        <w:t>ІНСТРУКЦІЯ</w:t>
      </w:r>
    </w:p>
    <w:p w:rsidR="007366CC" w:rsidRPr="00576726" w:rsidRDefault="007366CC" w:rsidP="007366CC">
      <w:pPr>
        <w:pStyle w:val="a3"/>
        <w:shd w:val="clear" w:color="auto" w:fill="FFFFFF"/>
        <w:spacing w:before="0" w:beforeAutospacing="0" w:after="0" w:afterAutospacing="0"/>
        <w:jc w:val="center"/>
        <w:rPr>
          <w:rFonts w:ascii="Arial" w:hAnsi="Arial" w:cs="Arial"/>
          <w:color w:val="1D1D1B"/>
          <w:sz w:val="26"/>
          <w:szCs w:val="26"/>
        </w:rPr>
      </w:pPr>
      <w:r w:rsidRPr="00B97A6E">
        <w:rPr>
          <w:b/>
          <w:bCs/>
          <w:color w:val="000000"/>
          <w:sz w:val="28"/>
          <w:szCs w:val="28"/>
          <w:bdr w:val="none" w:sz="0" w:space="0" w:color="auto" w:frame="1"/>
          <w:shd w:val="clear" w:color="auto" w:fill="FFFFFF"/>
        </w:rPr>
        <w:t>з підготовки бюджетної пропозиції до прогнозу бюджету Городоцької сільської територіальної громади</w:t>
      </w:r>
      <w:r w:rsidRPr="00576726">
        <w:rPr>
          <w:b/>
          <w:bCs/>
          <w:color w:val="000000"/>
          <w:sz w:val="28"/>
          <w:szCs w:val="28"/>
          <w:bdr w:val="none" w:sz="0" w:space="0" w:color="auto" w:frame="1"/>
          <w:shd w:val="clear" w:color="auto" w:fill="FFFFFF"/>
        </w:rPr>
        <w:t> </w:t>
      </w:r>
    </w:p>
    <w:p w:rsidR="007366CC" w:rsidRPr="00576726" w:rsidRDefault="007366CC" w:rsidP="007366CC">
      <w:pPr>
        <w:pStyle w:val="a3"/>
        <w:shd w:val="clear" w:color="auto" w:fill="FFFFFF"/>
        <w:spacing w:before="0" w:beforeAutospacing="0" w:after="0" w:afterAutospacing="0"/>
        <w:jc w:val="center"/>
        <w:rPr>
          <w:rFonts w:ascii="Arial" w:hAnsi="Arial" w:cs="Arial"/>
          <w:color w:val="1D1D1B"/>
          <w:sz w:val="26"/>
          <w:szCs w:val="26"/>
        </w:rPr>
      </w:pPr>
      <w:r w:rsidRPr="00576726">
        <w:rPr>
          <w:color w:val="1D1D1B"/>
          <w:sz w:val="28"/>
          <w:szCs w:val="28"/>
          <w:bdr w:val="none" w:sz="0" w:space="0" w:color="auto" w:frame="1"/>
          <w:shd w:val="clear" w:color="auto" w:fill="FFFFFF"/>
        </w:rPr>
        <w:t> </w:t>
      </w:r>
    </w:p>
    <w:p w:rsidR="007366CC" w:rsidRPr="00576726" w:rsidRDefault="007366CC" w:rsidP="007366CC">
      <w:pPr>
        <w:pStyle w:val="a3"/>
        <w:shd w:val="clear" w:color="auto" w:fill="FFFFFF"/>
        <w:spacing w:before="0" w:beforeAutospacing="0" w:after="0" w:afterAutospacing="0"/>
        <w:jc w:val="center"/>
        <w:rPr>
          <w:rFonts w:ascii="Arial" w:hAnsi="Arial" w:cs="Arial"/>
          <w:color w:val="1D1D1B"/>
          <w:sz w:val="26"/>
          <w:szCs w:val="26"/>
        </w:rPr>
      </w:pPr>
      <w:r w:rsidRPr="00576726">
        <w:rPr>
          <w:b/>
          <w:bCs/>
          <w:color w:val="000000"/>
          <w:sz w:val="28"/>
          <w:szCs w:val="28"/>
          <w:bdr w:val="none" w:sz="0" w:space="0" w:color="auto" w:frame="1"/>
          <w:shd w:val="clear" w:color="auto" w:fill="FFFFFF"/>
        </w:rPr>
        <w:t>І. Загальні положення</w:t>
      </w:r>
    </w:p>
    <w:p w:rsidR="007366CC" w:rsidRPr="00085A70"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sidRPr="00576726">
        <w:rPr>
          <w:color w:val="000000"/>
          <w:sz w:val="28"/>
          <w:szCs w:val="28"/>
          <w:bdr w:val="none" w:sz="0" w:space="0" w:color="auto" w:frame="1"/>
          <w:shd w:val="clear" w:color="auto" w:fill="FFFFFF"/>
        </w:rPr>
        <w:t>1. Ця Інструкція визначає основні положення про розрахунок орієнтовних граничних показників видатків бюджету та надання кредитів з бюджету Городоцької сільської  територіальної громади головному</w:t>
      </w:r>
      <w:r w:rsidRPr="00085A70">
        <w:rPr>
          <w:color w:val="000000"/>
          <w:sz w:val="28"/>
          <w:szCs w:val="28"/>
          <w:bdr w:val="none" w:sz="0" w:space="0" w:color="auto" w:frame="1"/>
          <w:shd w:val="clear" w:color="auto" w:fill="FFFFFF"/>
        </w:rPr>
        <w:t xml:space="preserve"> розпоряднику бюджетних коштів на середньостроковий період, встановлює порядок складання  та аналізу бюджетної пропозиції.</w:t>
      </w:r>
      <w:r w:rsidRPr="00085A70">
        <w:rPr>
          <w:color w:val="1D1D1B"/>
          <w:sz w:val="28"/>
          <w:szCs w:val="28"/>
          <w:bdr w:val="none" w:sz="0" w:space="0" w:color="auto" w:frame="1"/>
          <w:shd w:val="clear" w:color="auto" w:fill="FFFFFF"/>
        </w:rPr>
        <w:t> </w:t>
      </w:r>
    </w:p>
    <w:p w:rsidR="007366CC" w:rsidRPr="00085A70"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sidRPr="00085A70">
        <w:rPr>
          <w:color w:val="000000"/>
          <w:sz w:val="28"/>
          <w:szCs w:val="28"/>
          <w:bdr w:val="none" w:sz="0" w:space="0" w:color="auto" w:frame="1"/>
          <w:shd w:val="clear" w:color="auto" w:fill="FFFFFF"/>
        </w:rPr>
        <w:t>2.  У цій Інструкції терміни вживаються у значеннях, наведених у </w:t>
      </w:r>
      <w:hyperlink r:id="rId10" w:history="1">
        <w:r w:rsidRPr="00085A70">
          <w:rPr>
            <w:rStyle w:val="a4"/>
            <w:color w:val="000000"/>
            <w:sz w:val="28"/>
            <w:szCs w:val="28"/>
            <w:bdr w:val="none" w:sz="0" w:space="0" w:color="auto" w:frame="1"/>
            <w:shd w:val="clear" w:color="auto" w:fill="FFFFFF"/>
          </w:rPr>
          <w:t>Бюджетному кодексі України</w:t>
        </w:r>
      </w:hyperlink>
      <w:r w:rsidRPr="00085A70">
        <w:rPr>
          <w:color w:val="000000"/>
          <w:sz w:val="28"/>
          <w:szCs w:val="28"/>
          <w:bdr w:val="none" w:sz="0" w:space="0" w:color="auto" w:frame="1"/>
          <w:shd w:val="clear" w:color="auto" w:fill="FFFFFF"/>
        </w:rPr>
        <w:t> (далі - Кодекс) та інших нормативно-правових актах, що регламентують бюджетний процес.</w:t>
      </w:r>
    </w:p>
    <w:p w:rsidR="007366CC" w:rsidRPr="00085A70"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sidRPr="00085A70">
        <w:rPr>
          <w:color w:val="000000"/>
          <w:sz w:val="28"/>
          <w:szCs w:val="28"/>
          <w:bdr w:val="none" w:sz="0" w:space="0" w:color="auto" w:frame="1"/>
          <w:shd w:val="clear" w:color="auto" w:fill="FFFFFF"/>
        </w:rPr>
        <w:t>Процес формування бюджетної пропозиції здійснюється учасниками бюджетного процесу відповідно до бюджетного законодавства.</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sidRPr="00085A70">
        <w:rPr>
          <w:rFonts w:ascii="Arial" w:hAnsi="Arial" w:cs="Arial"/>
          <w:color w:val="1D1D1B"/>
          <w:sz w:val="26"/>
          <w:szCs w:val="26"/>
          <w:bdr w:val="none" w:sz="0" w:space="0" w:color="auto" w:frame="1"/>
        </w:rPr>
        <w:t> </w:t>
      </w:r>
      <w:r w:rsidRPr="00085A70">
        <w:rPr>
          <w:color w:val="1D1D1B"/>
          <w:sz w:val="28"/>
          <w:szCs w:val="28"/>
          <w:bdr w:val="none" w:sz="0" w:space="0" w:color="auto" w:frame="1"/>
        </w:rPr>
        <w:t>3. Документи, визначені цією Інструкцією, складаються з використанням автоматизованої інформаційно-аналітичної системи управління плануванням та виконанням місцевих бюджетів «LOGICA» за такими формами:</w:t>
      </w:r>
    </w:p>
    <w:p w:rsidR="007366CC" w:rsidRDefault="007366CC" w:rsidP="007366CC">
      <w:pPr>
        <w:pStyle w:val="a3"/>
        <w:shd w:val="clear" w:color="auto" w:fill="FFFFFF"/>
        <w:spacing w:before="0" w:beforeAutospacing="0" w:after="0" w:afterAutospacing="0"/>
        <w:ind w:right="135"/>
        <w:jc w:val="both"/>
        <w:rPr>
          <w:rFonts w:ascii="Arial" w:hAnsi="Arial" w:cs="Arial"/>
          <w:color w:val="1D1D1B"/>
          <w:sz w:val="26"/>
          <w:szCs w:val="26"/>
        </w:rPr>
      </w:pPr>
      <w:r>
        <w:rPr>
          <w:color w:val="1D1D1B"/>
          <w:sz w:val="28"/>
          <w:szCs w:val="28"/>
          <w:bdr w:val="none" w:sz="0" w:space="0" w:color="auto" w:frame="1"/>
        </w:rPr>
        <w:t>Орієнтовні граничні показники видатків місцевого бюджету та надання кредитів з місцевого бюджету головному розпоряднику бюджетних коштів на 202_  - 202__ роки (додаток 1);</w:t>
      </w:r>
    </w:p>
    <w:p w:rsidR="007366CC" w:rsidRDefault="007366CC" w:rsidP="007366CC">
      <w:pPr>
        <w:pStyle w:val="a3"/>
        <w:shd w:val="clear" w:color="auto" w:fill="FFFFFF"/>
        <w:spacing w:before="0" w:beforeAutospacing="0" w:after="0" w:afterAutospacing="0"/>
        <w:ind w:right="135" w:firstLine="709"/>
        <w:jc w:val="both"/>
        <w:rPr>
          <w:rFonts w:ascii="Arial" w:hAnsi="Arial" w:cs="Arial"/>
          <w:color w:val="1D1D1B"/>
          <w:sz w:val="26"/>
          <w:szCs w:val="26"/>
        </w:rPr>
      </w:pPr>
      <w:r>
        <w:rPr>
          <w:color w:val="1D1D1B"/>
          <w:sz w:val="28"/>
          <w:szCs w:val="28"/>
          <w:bdr w:val="none" w:sz="0" w:space="0" w:color="auto" w:frame="1"/>
        </w:rPr>
        <w:t>Бюджетна пропозиція місцевого бюджету на ________ __________роки загальна (Форма БП-1) (далі - Форма БП-1) (додаток 2);</w:t>
      </w:r>
    </w:p>
    <w:p w:rsidR="007366CC" w:rsidRDefault="007366CC" w:rsidP="007366CC">
      <w:pPr>
        <w:pStyle w:val="a3"/>
        <w:shd w:val="clear" w:color="auto" w:fill="FFFFFF"/>
        <w:spacing w:before="0" w:beforeAutospacing="0" w:after="0" w:afterAutospacing="0"/>
        <w:ind w:right="135" w:firstLine="709"/>
        <w:jc w:val="both"/>
        <w:rPr>
          <w:rFonts w:ascii="Arial" w:hAnsi="Arial" w:cs="Arial"/>
          <w:color w:val="1D1D1B"/>
          <w:sz w:val="26"/>
          <w:szCs w:val="26"/>
        </w:rPr>
      </w:pPr>
      <w:r>
        <w:rPr>
          <w:color w:val="1D1D1B"/>
          <w:sz w:val="28"/>
          <w:szCs w:val="28"/>
          <w:bdr w:val="none" w:sz="0" w:space="0" w:color="auto" w:frame="1"/>
        </w:rPr>
        <w:t>Бюджетна пропозиція на 202_  - 202__ роки індивідуальна (Форма БП-2) (далі - Форма БП-2) (додаток 3);</w:t>
      </w:r>
    </w:p>
    <w:p w:rsidR="007366CC" w:rsidRDefault="007366CC" w:rsidP="007366CC">
      <w:pPr>
        <w:pStyle w:val="a3"/>
        <w:shd w:val="clear" w:color="auto" w:fill="FFFFFF"/>
        <w:spacing w:before="0" w:beforeAutospacing="0" w:after="0" w:afterAutospacing="0"/>
        <w:ind w:right="135" w:firstLine="709"/>
        <w:jc w:val="both"/>
        <w:rPr>
          <w:rFonts w:ascii="Arial" w:hAnsi="Arial" w:cs="Arial"/>
          <w:color w:val="1D1D1B"/>
          <w:sz w:val="26"/>
          <w:szCs w:val="26"/>
        </w:rPr>
      </w:pPr>
      <w:r>
        <w:rPr>
          <w:color w:val="1D1D1B"/>
          <w:sz w:val="28"/>
          <w:szCs w:val="28"/>
          <w:bdr w:val="none" w:sz="0" w:space="0" w:color="auto" w:frame="1"/>
        </w:rPr>
        <w:t>Бюджетна пропозиція на 202_  - 202__ роки додаткова (Форма БП-3) (далі - Форма БП-3) (додаток 4);</w:t>
      </w:r>
    </w:p>
    <w:p w:rsidR="007366CC" w:rsidRDefault="007366CC" w:rsidP="007366CC">
      <w:pPr>
        <w:pStyle w:val="a3"/>
        <w:shd w:val="clear" w:color="auto" w:fill="FFFFFF"/>
        <w:spacing w:before="0" w:beforeAutospacing="0" w:after="0" w:afterAutospacing="0"/>
        <w:ind w:right="135" w:firstLine="709"/>
        <w:jc w:val="both"/>
        <w:rPr>
          <w:rFonts w:ascii="Arial" w:hAnsi="Arial" w:cs="Arial"/>
          <w:color w:val="1D1D1B"/>
          <w:sz w:val="26"/>
          <w:szCs w:val="26"/>
        </w:rPr>
      </w:pPr>
      <w:r>
        <w:rPr>
          <w:color w:val="1D1D1B"/>
          <w:sz w:val="28"/>
          <w:szCs w:val="28"/>
          <w:bdr w:val="none" w:sz="0" w:space="0" w:color="auto" w:frame="1"/>
        </w:rPr>
        <w:t>Показники міжбюджетних трансфертів (іншим місцевим бюджетам), які передбачаються в прогнозі місцевого бюджету, 202_  - 202__ роки (додаток 5);</w:t>
      </w:r>
    </w:p>
    <w:p w:rsidR="007366CC" w:rsidRDefault="007366CC" w:rsidP="007366CC">
      <w:pPr>
        <w:pStyle w:val="a3"/>
        <w:shd w:val="clear" w:color="auto" w:fill="FFFFFF"/>
        <w:spacing w:before="0" w:beforeAutospacing="0" w:after="0" w:afterAutospacing="0"/>
        <w:ind w:right="135" w:firstLine="709"/>
        <w:jc w:val="both"/>
        <w:rPr>
          <w:rFonts w:ascii="Arial" w:hAnsi="Arial" w:cs="Arial"/>
          <w:color w:val="1D1D1B"/>
          <w:sz w:val="26"/>
          <w:szCs w:val="26"/>
        </w:rPr>
      </w:pPr>
      <w:r>
        <w:rPr>
          <w:color w:val="1D1D1B"/>
          <w:sz w:val="28"/>
          <w:szCs w:val="28"/>
          <w:bdr w:val="none" w:sz="0" w:space="0" w:color="auto" w:frame="1"/>
        </w:rPr>
        <w:t>Орієнтовний граничний сукупний обсяг публічних інвестицій на 202_  - 202__ роки (додаток 6);</w:t>
      </w:r>
    </w:p>
    <w:p w:rsidR="007366CC" w:rsidRDefault="007366CC" w:rsidP="007366CC">
      <w:pPr>
        <w:pStyle w:val="a3"/>
        <w:shd w:val="clear" w:color="auto" w:fill="FFFFFF"/>
        <w:spacing w:before="0" w:beforeAutospacing="0" w:after="0" w:afterAutospacing="0"/>
        <w:ind w:right="135" w:firstLine="708"/>
        <w:jc w:val="both"/>
        <w:rPr>
          <w:rFonts w:ascii="Arial" w:hAnsi="Arial" w:cs="Arial"/>
          <w:color w:val="1D1D1B"/>
          <w:sz w:val="26"/>
          <w:szCs w:val="26"/>
        </w:rPr>
      </w:pPr>
      <w:r>
        <w:rPr>
          <w:color w:val="1D1D1B"/>
          <w:sz w:val="28"/>
          <w:szCs w:val="28"/>
          <w:bdr w:val="none" w:sz="0" w:space="0" w:color="auto" w:frame="1"/>
        </w:rPr>
        <w:t>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 на 202_  - 202__ роки (додаток 7);</w:t>
      </w:r>
    </w:p>
    <w:p w:rsidR="007366CC" w:rsidRDefault="007366CC" w:rsidP="007366CC">
      <w:pPr>
        <w:pStyle w:val="a3"/>
        <w:shd w:val="clear" w:color="auto" w:fill="FFFFFF"/>
        <w:spacing w:before="0" w:beforeAutospacing="0" w:after="0" w:afterAutospacing="0"/>
        <w:ind w:right="135" w:firstLine="709"/>
        <w:jc w:val="both"/>
        <w:rPr>
          <w:rFonts w:ascii="Arial" w:hAnsi="Arial" w:cs="Arial"/>
          <w:color w:val="1D1D1B"/>
          <w:sz w:val="26"/>
          <w:szCs w:val="26"/>
        </w:rPr>
      </w:pPr>
      <w:r>
        <w:rPr>
          <w:color w:val="1D1D1B"/>
          <w:sz w:val="28"/>
          <w:szCs w:val="28"/>
          <w:bdr w:val="none" w:sz="0" w:space="0" w:color="auto" w:frame="1"/>
        </w:rPr>
        <w:t>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на 2026–2028 роки (додаток 8).</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4. Усі вартісні показники у документах, визначених цією Інструкцією, наводяться у гривнях, з округленням до цілого числа.</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lastRenderedPageBreak/>
        <w:t> </w:t>
      </w:r>
      <w:r>
        <w:rPr>
          <w:color w:val="1D1D1B"/>
          <w:sz w:val="28"/>
          <w:szCs w:val="28"/>
          <w:bdr w:val="none" w:sz="0" w:space="0" w:color="auto" w:frame="1"/>
          <w:shd w:val="clear" w:color="auto" w:fill="FFFFFF"/>
        </w:rPr>
        <w:t> </w:t>
      </w:r>
      <w:r>
        <w:rPr>
          <w:color w:val="000000"/>
          <w:sz w:val="28"/>
          <w:szCs w:val="28"/>
          <w:bdr w:val="none" w:sz="0" w:space="0" w:color="auto" w:frame="1"/>
          <w:shd w:val="clear" w:color="auto" w:fill="FFFFFF"/>
        </w:rPr>
        <w:t>5. У формі орієнтовних граничних показників видатків бюджету  та надання кредитів з бюджету Городоцької сільської територіальної громади</w:t>
      </w:r>
      <w:r>
        <w:rPr>
          <w:color w:val="1D1D1B"/>
          <w:sz w:val="28"/>
          <w:szCs w:val="28"/>
          <w:bdr w:val="none" w:sz="0" w:space="0" w:color="auto" w:frame="1"/>
          <w:shd w:val="clear" w:color="auto" w:fill="FFFFFF"/>
        </w:rPr>
        <w:t> </w:t>
      </w:r>
      <w:r>
        <w:rPr>
          <w:color w:val="000000"/>
          <w:sz w:val="28"/>
          <w:szCs w:val="28"/>
          <w:bdr w:val="none" w:sz="0" w:space="0" w:color="auto" w:frame="1"/>
          <w:shd w:val="clear" w:color="auto" w:fill="FFFFFF"/>
        </w:rPr>
        <w:t> зазначається розподіл орієнтовних граничних показників видатків місцевого бюджету та надання кредитів з місцевого бюджету на середньостроковий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 xml:space="preserve">6. У формі орієнтовного граничного сукупного обсягу публічних інвестицій на </w:t>
      </w:r>
      <w:r>
        <w:rPr>
          <w:color w:val="1D1D1B"/>
          <w:sz w:val="28"/>
          <w:szCs w:val="28"/>
          <w:bdr w:val="none" w:sz="0" w:space="0" w:color="auto" w:frame="1"/>
        </w:rPr>
        <w:t xml:space="preserve">202_  - 202__ </w:t>
      </w:r>
      <w:r>
        <w:rPr>
          <w:color w:val="000000"/>
          <w:sz w:val="28"/>
          <w:szCs w:val="28"/>
          <w:bdr w:val="none" w:sz="0" w:space="0" w:color="auto" w:frame="1"/>
          <w:shd w:val="clear" w:color="auto" w:fill="FFFFFF"/>
        </w:rPr>
        <w:t>роки</w:t>
      </w:r>
      <w:r>
        <w:rPr>
          <w:color w:val="1D1D1B"/>
          <w:bdr w:val="none" w:sz="0" w:space="0" w:color="auto" w:frame="1"/>
          <w:shd w:val="clear" w:color="auto" w:fill="FFFFFF"/>
        </w:rPr>
        <w:t> </w:t>
      </w:r>
      <w:r>
        <w:rPr>
          <w:color w:val="000000"/>
          <w:sz w:val="28"/>
          <w:szCs w:val="28"/>
          <w:bdr w:val="none" w:sz="0" w:space="0" w:color="auto" w:frame="1"/>
          <w:shd w:val="clear" w:color="auto" w:fill="FFFFFF"/>
        </w:rPr>
        <w:t>зазначається розподіл орієнтовного граничного сукупного обсягу публічних інвестицій на середньостроковий період.</w:t>
      </w:r>
      <w:r>
        <w:rPr>
          <w:rFonts w:ascii="Arial" w:hAnsi="Arial" w:cs="Arial"/>
          <w:color w:val="1D1D1B"/>
          <w:sz w:val="26"/>
          <w:szCs w:val="26"/>
          <w:bdr w:val="none" w:sz="0" w:space="0" w:color="auto" w:frame="1"/>
        </w:rPr>
        <w:t> </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7. У формах бюджетної пропозиції зазначаються:</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на поточний бюджетний період (затверджено) - показники, затверджені розписом місцевого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 xml:space="preserve">на середньостроковий період (план) - показники за видами надходжень, видатків та надання кредитів з місцевого бюджету на плановий та наступні за плановим два бюджетні періоди, визначених на основі орієнтовних граничних показників видатків місцевого бюджету та надання кредитів з місцевого бюджету, які є основою для складання прогнозу місцевого бюджету та </w:t>
      </w:r>
      <w:proofErr w:type="spellStart"/>
      <w:r>
        <w:rPr>
          <w:color w:val="000000"/>
          <w:sz w:val="28"/>
          <w:szCs w:val="28"/>
          <w:bdr w:val="none" w:sz="0" w:space="0" w:color="auto" w:frame="1"/>
          <w:shd w:val="clear" w:color="auto" w:fill="FFFFFF"/>
        </w:rPr>
        <w:t>проєкту</w:t>
      </w:r>
      <w:proofErr w:type="spellEnd"/>
      <w:r>
        <w:rPr>
          <w:color w:val="000000"/>
          <w:sz w:val="28"/>
          <w:szCs w:val="28"/>
          <w:bdr w:val="none" w:sz="0" w:space="0" w:color="auto" w:frame="1"/>
          <w:shd w:val="clear" w:color="auto" w:fill="FFFFFF"/>
        </w:rPr>
        <w:t xml:space="preserve"> рішення про бюджет Городоцької сільської територіальної громади  на наступний бюджетний період (далі - розподіл орієнтовних граничних показників на середньостроковий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1D1D1B"/>
          <w:sz w:val="28"/>
          <w:szCs w:val="28"/>
          <w:bdr w:val="none" w:sz="0" w:space="0" w:color="auto" w:frame="1"/>
        </w:rPr>
        <w:t>8. У формах, визначених цією Інструкцією, зазначаються код та найменування місцевого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 xml:space="preserve"> бюджет </w:t>
      </w:r>
      <w:r>
        <w:rPr>
          <w:color w:val="000000"/>
          <w:sz w:val="28"/>
          <w:szCs w:val="28"/>
          <w:bdr w:val="none" w:sz="0" w:space="0" w:color="auto" w:frame="1"/>
          <w:shd w:val="clear" w:color="auto" w:fill="FFFFFF"/>
        </w:rPr>
        <w:t>Городоцької</w:t>
      </w:r>
      <w:r>
        <w:rPr>
          <w:color w:val="1D1D1B"/>
          <w:sz w:val="28"/>
          <w:szCs w:val="28"/>
          <w:bdr w:val="none" w:sz="0" w:space="0" w:color="auto" w:frame="1"/>
        </w:rPr>
        <w:t xml:space="preserve"> сільської територіальної громади (код бюджету </w:t>
      </w:r>
      <w:r>
        <w:rPr>
          <w:b/>
          <w:bCs/>
          <w:color w:val="1D1D1B"/>
          <w:sz w:val="28"/>
          <w:szCs w:val="28"/>
          <w:bdr w:val="none" w:sz="0" w:space="0" w:color="auto" w:frame="1"/>
        </w:rPr>
        <w:t>1755300000)</w:t>
      </w:r>
      <w:r>
        <w:rPr>
          <w:b/>
          <w:bCs/>
          <w:i/>
          <w:iCs/>
          <w:color w:val="1D1D1B"/>
          <w:sz w:val="28"/>
          <w:szCs w:val="28"/>
          <w:bdr w:val="none" w:sz="0" w:space="0" w:color="auto" w:frame="1"/>
        </w:rPr>
        <w:t> -</w:t>
      </w:r>
      <w:r>
        <w:rPr>
          <w:color w:val="1D1D1B"/>
          <w:sz w:val="28"/>
          <w:szCs w:val="28"/>
          <w:bdr w:val="none" w:sz="0" w:space="0" w:color="auto" w:frame="1"/>
        </w:rPr>
        <w:t> відповідно до Довідника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28 лютого 2024 року № 98) (далі — код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видів надходжень місцевого бюджету - відповідно до Класифікації доходів бюджету, Класифікації фінансування бюджету за типом кредитора, Класифікації фінансування бюджету за типом боргового зобов’язання, затверджених наказом Міністерства фінансів України від 14 січня 2011 року № 11, 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(у частині повернення кредитів до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 xml:space="preserve">видатків та надання кредитів з місцевого бюджету -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Функціональної класифікації видатків та кредитування бюджету, Економічної класифікації видатків бюджету та Класифікації кредитування </w:t>
      </w:r>
      <w:r>
        <w:rPr>
          <w:color w:val="1D1D1B"/>
          <w:sz w:val="28"/>
          <w:szCs w:val="28"/>
          <w:bdr w:val="none" w:sz="0" w:space="0" w:color="auto" w:frame="1"/>
        </w:rPr>
        <w:lastRenderedPageBreak/>
        <w:t>бюджету, затверджених наказом Міністерства фінансів України від 14 січня 2011 року № 11;</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головних розпорядників - відповідно до Типової відомчої класифікації видатків та кредитування місцевого бюджету, затвердженої наказом Міністерства фінансів України від 20 вересня 2017 року № 793, та установчих документів.</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p>
    <w:p w:rsidR="007366CC" w:rsidRDefault="007366CC" w:rsidP="007366CC">
      <w:pPr>
        <w:pStyle w:val="a3"/>
        <w:shd w:val="clear" w:color="auto" w:fill="FFFFFF"/>
        <w:spacing w:before="0" w:beforeAutospacing="0" w:after="0" w:afterAutospacing="0"/>
        <w:ind w:firstLine="709"/>
        <w:jc w:val="center"/>
        <w:rPr>
          <w:rFonts w:ascii="Arial" w:hAnsi="Arial" w:cs="Arial"/>
          <w:color w:val="1D1D1B"/>
          <w:sz w:val="26"/>
          <w:szCs w:val="26"/>
        </w:rPr>
      </w:pPr>
      <w:r>
        <w:rPr>
          <w:b/>
          <w:bCs/>
          <w:color w:val="1D1D1B"/>
          <w:sz w:val="28"/>
          <w:szCs w:val="28"/>
          <w:bdr w:val="none" w:sz="0" w:space="0" w:color="auto" w:frame="1"/>
        </w:rPr>
        <w:t>II. Основні положення щодо розрахунку орієнтовних граничних показників</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 xml:space="preserve">1. Фінансовий відділ </w:t>
      </w:r>
      <w:r>
        <w:rPr>
          <w:color w:val="000000"/>
          <w:sz w:val="28"/>
          <w:szCs w:val="28"/>
          <w:bdr w:val="none" w:sz="0" w:space="0" w:color="auto" w:frame="1"/>
          <w:shd w:val="clear" w:color="auto" w:fill="FFFFFF"/>
        </w:rPr>
        <w:t>Городоцької сільської</w:t>
      </w:r>
      <w:r>
        <w:rPr>
          <w:color w:val="1D1D1B"/>
          <w:sz w:val="28"/>
          <w:szCs w:val="28"/>
          <w:bdr w:val="none" w:sz="0" w:space="0" w:color="auto" w:frame="1"/>
        </w:rPr>
        <w:t xml:space="preserve">  ради на підставі основних прогнозних </w:t>
      </w:r>
      <w:proofErr w:type="spellStart"/>
      <w:r>
        <w:rPr>
          <w:color w:val="1D1D1B"/>
          <w:sz w:val="28"/>
          <w:szCs w:val="28"/>
          <w:bdr w:val="none" w:sz="0" w:space="0" w:color="auto" w:frame="1"/>
        </w:rPr>
        <w:t>макропоказників</w:t>
      </w:r>
      <w:proofErr w:type="spellEnd"/>
      <w:r>
        <w:rPr>
          <w:color w:val="1D1D1B"/>
          <w:sz w:val="28"/>
          <w:szCs w:val="28"/>
          <w:bdr w:val="none" w:sz="0" w:space="0" w:color="auto" w:frame="1"/>
        </w:rPr>
        <w:t xml:space="preserve"> економічного і соціального розвитку України, Бюджетної декларації, особливостей складання розрахунків до прогнозів місцевих бюджетів, доведених Міністерством фінансів України,  аналізу виконання бюджету у попередніх та поточному бюджетних періодах:</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 xml:space="preserve">здійснює прогнозування доходів місцевого бюджету з урахуванням вимог Податкового та Бюджетного кодексів України (на основі даних ГУ Державної податкової служби України у Рівненській області, щодо збільшення їх обсягу та зменшення втрат бюджету, інших органів, що контролюють справляння надходжень до бюджету </w:t>
      </w:r>
      <w:r>
        <w:rPr>
          <w:color w:val="000000"/>
          <w:sz w:val="28"/>
          <w:szCs w:val="28"/>
          <w:bdr w:val="none" w:sz="0" w:space="0" w:color="auto" w:frame="1"/>
          <w:shd w:val="clear" w:color="auto" w:fill="FFFFFF"/>
        </w:rPr>
        <w:t>Городоцької</w:t>
      </w:r>
      <w:r>
        <w:rPr>
          <w:color w:val="1D1D1B"/>
          <w:sz w:val="28"/>
          <w:szCs w:val="28"/>
          <w:bdr w:val="none" w:sz="0" w:space="0" w:color="auto" w:frame="1"/>
        </w:rPr>
        <w:t xml:space="preserve"> сільської територіальної громади), у тому числі показників міжбюджетних трансфертів, обсягів фінансування місцевого бюджету, повернення кредитів до місцевого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розраховує загальні орієнтовні граничні показники видатків місцевого бюджету та надання кредитів з місцевого бюджету на середньостроковий період  та орієнтовний граничний сукупний обсяг публічних інвестицій (далі – орієнтовний сукупний обсяг публічних інвестицій);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розподіляє між головними розпорядниками бюджетних коштів (далі - головні розпорядники) орієнтовні граничні показники видатків місцевого бюджету та надання кредитів з місцевого бюджету на середньостроковий період (далі - орієнтовні граничні показники);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розробляє інструкції з підготовки бюджетних пропозицій та інші форми, відповідно до яких складається та подається інформація разом з бюджетною пропозицією;</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 доводить до головних розпорядників орієнтовні граничні показники, інструкції з підготовки бюджетних пропозицій та інші форми.</w:t>
      </w:r>
      <w:r>
        <w:rPr>
          <w:rFonts w:ascii="Arial" w:hAnsi="Arial" w:cs="Arial"/>
          <w:color w:val="1D1D1B"/>
          <w:sz w:val="26"/>
          <w:szCs w:val="26"/>
          <w:bdr w:val="none" w:sz="0" w:space="0" w:color="auto" w:frame="1"/>
        </w:rPr>
        <w:t> </w:t>
      </w:r>
    </w:p>
    <w:p w:rsidR="007366CC" w:rsidRDefault="007366CC" w:rsidP="007366CC">
      <w:pPr>
        <w:pStyle w:val="a3"/>
        <w:shd w:val="clear" w:color="auto" w:fill="FFFFFF"/>
        <w:spacing w:before="0" w:beforeAutospacing="0" w:after="0" w:afterAutospacing="0"/>
        <w:ind w:firstLine="142"/>
        <w:jc w:val="both"/>
        <w:rPr>
          <w:rFonts w:ascii="Arial" w:hAnsi="Arial" w:cs="Arial"/>
          <w:color w:val="1D1D1B"/>
          <w:sz w:val="26"/>
          <w:szCs w:val="26"/>
        </w:rPr>
      </w:pPr>
      <w:r>
        <w:rPr>
          <w:color w:val="1D1D1B"/>
          <w:sz w:val="28"/>
          <w:szCs w:val="28"/>
          <w:bdr w:val="none" w:sz="0" w:space="0" w:color="auto" w:frame="1"/>
        </w:rPr>
        <w:t>      2. Орієнтовні граничні показники доводяться фінансовим відділом до головного розпорядника загальними сумами на кожний рік середньострокового періоду за формою, затвердженою цією Інструкцією (</w:t>
      </w:r>
      <w:r>
        <w:rPr>
          <w:color w:val="1D1D1B"/>
          <w:sz w:val="28"/>
          <w:szCs w:val="28"/>
          <w:u w:val="single"/>
          <w:bdr w:val="none" w:sz="0" w:space="0" w:color="auto" w:frame="1"/>
        </w:rPr>
        <w:t>додаток 1</w:t>
      </w:r>
      <w:r>
        <w:rPr>
          <w:color w:val="1D1D1B"/>
          <w:sz w:val="28"/>
          <w:szCs w:val="28"/>
          <w:bdr w:val="none" w:sz="0" w:space="0" w:color="auto" w:frame="1"/>
        </w:rPr>
        <w:t>), та із зазначенням окремо обсягів:</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видатків за загальним фондом, джерелом яких є трансферти з державного та місцевих бюджетів;</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видатків за спеціальним фондом із зазначенням джерела їх надходжень;</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надання кредитів із загального фонду;</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надання кредитів із спеціального фонду.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1D1D1B"/>
          <w:sz w:val="28"/>
          <w:szCs w:val="28"/>
          <w:bdr w:val="none" w:sz="0" w:space="0" w:color="auto" w:frame="1"/>
        </w:rPr>
        <w:t xml:space="preserve">3. Орієнтовний сукупний обсяг публічних інвестицій доводиться фінансовим відділом </w:t>
      </w:r>
      <w:r>
        <w:rPr>
          <w:color w:val="000000"/>
          <w:sz w:val="28"/>
          <w:szCs w:val="28"/>
          <w:bdr w:val="none" w:sz="0" w:space="0" w:color="auto" w:frame="1"/>
        </w:rPr>
        <w:t xml:space="preserve">відповідальному структурному підрозділу, що забезпечує </w:t>
      </w:r>
      <w:r>
        <w:rPr>
          <w:color w:val="000000"/>
          <w:sz w:val="28"/>
          <w:szCs w:val="28"/>
          <w:bdr w:val="none" w:sz="0" w:space="0" w:color="auto" w:frame="1"/>
        </w:rPr>
        <w:lastRenderedPageBreak/>
        <w:t>реалізацію повноважень у сфері економічного розвитку Городоцької сільської територіальної громади</w:t>
      </w:r>
      <w:r>
        <w:rPr>
          <w:color w:val="1D1D1B"/>
          <w:sz w:val="28"/>
          <w:szCs w:val="28"/>
          <w:bdr w:val="none" w:sz="0" w:space="0" w:color="auto" w:frame="1"/>
        </w:rPr>
        <w:t xml:space="preserve"> загальними сумами на кожний рік середньострокового періоду за формою, наведеною в </w:t>
      </w:r>
      <w:r>
        <w:rPr>
          <w:color w:val="1D1D1B"/>
          <w:sz w:val="28"/>
          <w:szCs w:val="28"/>
          <w:u w:val="single"/>
          <w:bdr w:val="none" w:sz="0" w:space="0" w:color="auto" w:frame="1"/>
        </w:rPr>
        <w:t>додатку 6</w:t>
      </w:r>
      <w:r>
        <w:rPr>
          <w:color w:val="1D1D1B"/>
          <w:sz w:val="28"/>
          <w:szCs w:val="28"/>
          <w:bdr w:val="none" w:sz="0" w:space="0" w:color="auto" w:frame="1"/>
        </w:rPr>
        <w:t> до цієї Інструкції, із зазначенням окремо обсягів:</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коштів місцевого бюджету, у тому числі:</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співфінансування заходів щодо підготовки та реалізації публічних інвестиційних проектів та програм публічних інвестицій;</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міжбюджетних трансфертів з державного бюджету;</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міжбюджетних трансфертів з інших місцевих бюджетів;</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місцевих запозичень;</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інших джерел.</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4. Фінансовий відділ доводить до головних розпорядників обсяг публічних інвестицій на середньостроковий період, з урахуванням середньострокового плану пріоритетних публічних інвестицій Городоцької сільської територіальної громади, схваленого місцевою інвестиційною радою, за формою, наведеною в </w:t>
      </w:r>
      <w:r>
        <w:rPr>
          <w:color w:val="1D1D1B"/>
          <w:sz w:val="28"/>
          <w:szCs w:val="28"/>
          <w:u w:val="single"/>
          <w:bdr w:val="none" w:sz="0" w:space="0" w:color="auto" w:frame="1"/>
        </w:rPr>
        <w:t>додатку 7</w:t>
      </w:r>
      <w:r>
        <w:rPr>
          <w:color w:val="1D1D1B"/>
          <w:sz w:val="28"/>
          <w:szCs w:val="28"/>
          <w:bdr w:val="none" w:sz="0" w:space="0" w:color="auto" w:frame="1"/>
        </w:rPr>
        <w:t> до цієї Інструкції.</w:t>
      </w:r>
    </w:p>
    <w:p w:rsidR="007366CC" w:rsidRDefault="007366CC" w:rsidP="007366CC">
      <w:pPr>
        <w:pStyle w:val="a3"/>
        <w:shd w:val="clear" w:color="auto" w:fill="FFFFFF"/>
        <w:spacing w:before="225" w:beforeAutospacing="0" w:after="225" w:afterAutospacing="0"/>
        <w:ind w:firstLine="709"/>
        <w:jc w:val="both"/>
        <w:rPr>
          <w:rFonts w:ascii="Arial" w:hAnsi="Arial" w:cs="Arial"/>
          <w:color w:val="1D1D1B"/>
          <w:sz w:val="26"/>
          <w:szCs w:val="26"/>
        </w:rPr>
      </w:pPr>
      <w:r>
        <w:rPr>
          <w:rFonts w:ascii="Arial" w:hAnsi="Arial" w:cs="Arial"/>
          <w:color w:val="1D1D1B"/>
          <w:sz w:val="26"/>
          <w:szCs w:val="26"/>
        </w:rPr>
        <w:t> </w:t>
      </w:r>
    </w:p>
    <w:p w:rsidR="007366CC" w:rsidRDefault="007366CC" w:rsidP="007366CC">
      <w:pPr>
        <w:pStyle w:val="a3"/>
        <w:shd w:val="clear" w:color="auto" w:fill="FFFFFF"/>
        <w:spacing w:before="0" w:beforeAutospacing="0" w:after="0" w:afterAutospacing="0"/>
        <w:ind w:firstLine="709"/>
        <w:jc w:val="center"/>
        <w:rPr>
          <w:rFonts w:ascii="Arial" w:hAnsi="Arial" w:cs="Arial"/>
          <w:color w:val="1D1D1B"/>
          <w:sz w:val="26"/>
          <w:szCs w:val="26"/>
        </w:rPr>
      </w:pPr>
      <w:r>
        <w:rPr>
          <w:b/>
          <w:bCs/>
          <w:color w:val="000000"/>
          <w:sz w:val="28"/>
          <w:szCs w:val="28"/>
          <w:bdr w:val="none" w:sz="0" w:space="0" w:color="auto" w:frame="1"/>
          <w:shd w:val="clear" w:color="auto" w:fill="FFFFFF"/>
        </w:rPr>
        <w:t>ІІІ.   Складання, розгляд та аналіз  пропозицій до прогнозу бюджету Городоцької сільської територіальної громади</w:t>
      </w:r>
    </w:p>
    <w:p w:rsidR="007366CC" w:rsidRDefault="007366CC" w:rsidP="007366CC">
      <w:pPr>
        <w:pStyle w:val="a3"/>
        <w:shd w:val="clear" w:color="auto" w:fill="FFFFFF"/>
        <w:spacing w:before="225" w:beforeAutospacing="0" w:after="225" w:afterAutospacing="0"/>
        <w:ind w:firstLine="709"/>
        <w:jc w:val="center"/>
        <w:rPr>
          <w:rFonts w:ascii="Arial" w:hAnsi="Arial" w:cs="Arial"/>
          <w:color w:val="1D1D1B"/>
          <w:sz w:val="26"/>
          <w:szCs w:val="26"/>
        </w:rPr>
      </w:pPr>
      <w:r>
        <w:rPr>
          <w:rFonts w:ascii="Arial" w:hAnsi="Arial" w:cs="Arial"/>
          <w:color w:val="1D1D1B"/>
          <w:sz w:val="26"/>
          <w:szCs w:val="26"/>
        </w:rPr>
        <w:t> </w:t>
      </w:r>
    </w:p>
    <w:p w:rsidR="007366CC" w:rsidRDefault="007366CC" w:rsidP="007366CC">
      <w:pPr>
        <w:pStyle w:val="a3"/>
        <w:shd w:val="clear" w:color="auto" w:fill="FFFFFF"/>
        <w:spacing w:before="0" w:beforeAutospacing="0" w:after="0" w:afterAutospacing="0"/>
        <w:ind w:right="450"/>
        <w:jc w:val="both"/>
        <w:rPr>
          <w:rFonts w:ascii="Arial" w:hAnsi="Arial" w:cs="Arial"/>
          <w:color w:val="1D1D1B"/>
          <w:sz w:val="26"/>
          <w:szCs w:val="26"/>
        </w:rPr>
      </w:pPr>
      <w:r>
        <w:rPr>
          <w:color w:val="000000"/>
          <w:sz w:val="28"/>
          <w:szCs w:val="28"/>
          <w:bdr w:val="none" w:sz="0" w:space="0" w:color="auto" w:frame="1"/>
          <w:shd w:val="clear" w:color="auto" w:fill="FFFFFF"/>
        </w:rPr>
        <w:t>          1. Бюджетна пропозиція складається головними розпорядниками на середньостроковий період (плановий та наступні за плановим два бюджетні періоди) з урахуванням положень цієї Інструкції, а також містить інформацію за попередній та поточний бюджетні періоди.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2. Головні розпорядники організовують та забезпечують складання бюджетної пропозиції і подають її до фінансового відділу Городоцької сільської  ради з використанням форм, визначених цією Інструкцією.</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3. Форми бюджетної пропозиції заповнюються послідовно: Форма БП-2 заповнюється на підставі показників Форми БП-1 і лише після заповнення зазначених форм та за потреби заповнюється Форма БП-3. В окремих пунктах форм зазначається необхідна кількість показників, визначена головним розпорядником.</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4. Джерелами інформації для заповнення форм бюджетної пропозиції є:</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Державна стратегія регіонального розвитку України, план заходів з Державної стратегії регіонального розвитку України, плани заходів з реалізації стратегії розвитку територіальної громади;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програма соціально-економічного розвитку Городоцької сільської територіальної громади;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цільові програми з інших питань місцевого самоврядування;</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місцеві / регіональні програми розвитку;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середньострокові плани пріоритетних публічних інвестицій;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програми публічних інвестицій;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lastRenderedPageBreak/>
        <w:t>річний звіт про виконання місцевого бюджету за попередній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інформація про досягнення цілей державної, регіональної та місцевої політик з показниками досягнення цілей за результатами попереднього бюджетного періоду;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звіти про виконання паспортів бюджетних програм за попередній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розпис місцевого бюджету на поточний бюджетний період (з урахуванням усіх внесених змін станом на 01 липня року, що передує плановому);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паспорти бюджетних програм на поточний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прогноз місцевого бюджету, схвалений у попередньому бюджетному періоді;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план діяльності головного розпорядника на середньостроковий період (включаючи заходи щодо підготовки та реалізації публічних інвестиційних проектів та програм публічних інвестицій);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 xml:space="preserve">прогнозні </w:t>
      </w:r>
      <w:proofErr w:type="spellStart"/>
      <w:r>
        <w:rPr>
          <w:color w:val="1D1D1B"/>
          <w:sz w:val="28"/>
          <w:szCs w:val="28"/>
          <w:bdr w:val="none" w:sz="0" w:space="0" w:color="auto" w:frame="1"/>
        </w:rPr>
        <w:t>макропоказники</w:t>
      </w:r>
      <w:proofErr w:type="spellEnd"/>
      <w:r>
        <w:rPr>
          <w:color w:val="1D1D1B"/>
          <w:sz w:val="28"/>
          <w:szCs w:val="28"/>
          <w:bdr w:val="none" w:sz="0" w:space="0" w:color="auto" w:frame="1"/>
        </w:rPr>
        <w:t xml:space="preserve"> економічного і соціального розвитку України;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основні прогнозні показники економічного і соціального розвитку Городоцької  сільської територіальної громади;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Бюджетна декларація;</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особливості складання розрахунків до прогнозів місцевих бюджетів, доведених Міністерством фінансів України;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інструкція з підготовки бюджетних пропозицій фінансового відділу Городоцької  сільської ради;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інша інформація, визначена фінансовим відділом.</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5. 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hyperlink r:id="rId11" w:anchor="n6" w:history="1">
        <w:r>
          <w:rPr>
            <w:rStyle w:val="a4"/>
            <w:color w:val="000000"/>
            <w:sz w:val="28"/>
            <w:szCs w:val="28"/>
            <w:bdr w:val="none" w:sz="0" w:space="0" w:color="auto" w:frame="1"/>
            <w:shd w:val="clear" w:color="auto" w:fill="FFFFFF"/>
          </w:rPr>
          <w:t>Програмної класифікації видатків та кредитування місцевого бюджету</w:t>
        </w:r>
      </w:hyperlink>
      <w:r>
        <w:rPr>
          <w:color w:val="000000"/>
          <w:sz w:val="28"/>
          <w:szCs w:val="28"/>
          <w:bdr w:val="none" w:sz="0" w:space="0" w:color="auto" w:frame="1"/>
          <w:shd w:val="clear" w:color="auto" w:fill="FFFFFF"/>
        </w:rPr>
        <w:t>, що формується у пропозиції до прогнозу бюджету на середньостроковий період згідно з Типовою </w:t>
      </w:r>
      <w:hyperlink r:id="rId12" w:anchor="n6" w:history="1">
        <w:r>
          <w:rPr>
            <w:rStyle w:val="a4"/>
            <w:color w:val="000000"/>
            <w:sz w:val="28"/>
            <w:szCs w:val="28"/>
            <w:bdr w:val="none" w:sz="0" w:space="0" w:color="auto" w:frame="1"/>
            <w:shd w:val="clear" w:color="auto" w:fill="FFFFFF"/>
          </w:rPr>
          <w:t>програмною класифікацією видатків та кредитування місцевого бюджету</w:t>
        </w:r>
      </w:hyperlink>
      <w:r>
        <w:rPr>
          <w:color w:val="000000"/>
          <w:sz w:val="28"/>
          <w:szCs w:val="28"/>
          <w:bdr w:val="none" w:sz="0" w:space="0" w:color="auto" w:frame="1"/>
          <w:shd w:val="clear" w:color="auto" w:fill="FFFFFF"/>
        </w:rPr>
        <w:t>, затвердженої Мінфіном.</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6.</w:t>
      </w:r>
      <w:r>
        <w:rPr>
          <w:color w:val="1D1D1B"/>
          <w:bdr w:val="none" w:sz="0" w:space="0" w:color="auto" w:frame="1"/>
          <w:shd w:val="clear" w:color="auto" w:fill="FFFFFF"/>
        </w:rPr>
        <w:t> </w:t>
      </w:r>
      <w:r>
        <w:rPr>
          <w:color w:val="000000"/>
          <w:sz w:val="28"/>
          <w:szCs w:val="28"/>
          <w:bdr w:val="none" w:sz="0" w:space="0" w:color="auto" w:frame="1"/>
          <w:shd w:val="clear" w:color="auto" w:fill="FFFFFF"/>
        </w:rPr>
        <w:t>У разі, якщо бюджетна програма не передбачається на середньостроковий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показники за бюджетною програмою поточного бюджетного періоду зазначаються окремим рядком у формі БП-1;</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БП-1.</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1D1D1B"/>
          <w:sz w:val="28"/>
          <w:szCs w:val="28"/>
          <w:bdr w:val="none" w:sz="0" w:space="0" w:color="auto" w:frame="1"/>
        </w:rPr>
        <w:t>7. Разом з бюджетною пропозицією головний розпорядник подає необхідні для здійснення фінансовим відділом аналізу документи та матеріали, до складу яких входять:</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lastRenderedPageBreak/>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інформація щодо врахування гендерного та кліматичного аспектів під час формування бюджетних показників.</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за формою, наведеною у </w:t>
      </w:r>
      <w:r>
        <w:rPr>
          <w:color w:val="1D1D1B"/>
          <w:sz w:val="28"/>
          <w:szCs w:val="28"/>
          <w:u w:val="single"/>
          <w:bdr w:val="none" w:sz="0" w:space="0" w:color="auto" w:frame="1"/>
        </w:rPr>
        <w:t>додатку 8</w:t>
      </w:r>
      <w:r>
        <w:rPr>
          <w:color w:val="1D1D1B"/>
          <w:sz w:val="28"/>
          <w:szCs w:val="28"/>
          <w:bdr w:val="none" w:sz="0" w:space="0" w:color="auto" w:frame="1"/>
        </w:rPr>
        <w:t> до цієї Інструкції.</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8. У разі передбачення у бюджетних пропозиціях, поданих головними розпорядниками, надання міжбюджетних трансфертів іншим місцевим бюджетам фінансовий відділ 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фінансовим органам за формою, наведеною у</w:t>
      </w:r>
      <w:r>
        <w:rPr>
          <w:color w:val="1D1D1B"/>
          <w:sz w:val="28"/>
          <w:szCs w:val="28"/>
          <w:bdr w:val="none" w:sz="0" w:space="0" w:color="auto" w:frame="1"/>
        </w:rPr>
        <w:t> </w:t>
      </w:r>
      <w:hyperlink r:id="rId13" w:anchor="n221" w:history="1">
        <w:r>
          <w:rPr>
            <w:rStyle w:val="a4"/>
            <w:color w:val="000000"/>
            <w:sz w:val="28"/>
            <w:szCs w:val="28"/>
            <w:bdr w:val="none" w:sz="0" w:space="0" w:color="auto" w:frame="1"/>
            <w:shd w:val="clear" w:color="auto" w:fill="FFFFFF"/>
          </w:rPr>
          <w:t>додатку 5</w:t>
        </w:r>
      </w:hyperlink>
      <w:r>
        <w:rPr>
          <w:color w:val="1D1D1B"/>
          <w:sz w:val="28"/>
          <w:szCs w:val="28"/>
          <w:bdr w:val="none" w:sz="0" w:space="0" w:color="auto" w:frame="1"/>
        </w:rPr>
        <w:t> </w:t>
      </w:r>
      <w:r>
        <w:rPr>
          <w:color w:val="000000"/>
          <w:sz w:val="28"/>
          <w:szCs w:val="28"/>
          <w:bdr w:val="none" w:sz="0" w:space="0" w:color="auto" w:frame="1"/>
          <w:shd w:val="clear" w:color="auto" w:fill="FFFFFF"/>
        </w:rPr>
        <w:t>до цієї Інструкції, для врахування ними під час складання прогнозу місцевого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 9</w:t>
      </w:r>
      <w:r>
        <w:rPr>
          <w:color w:val="000000"/>
          <w:sz w:val="28"/>
          <w:szCs w:val="28"/>
          <w:bdr w:val="none" w:sz="0" w:space="0" w:color="auto" w:frame="1"/>
          <w:shd w:val="clear" w:color="auto" w:fill="FFFFFF"/>
        </w:rPr>
        <w:t>. Фінансовий відділ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фінансовим відділом фінансових обмежень, організаційних та інших вимог, </w:t>
      </w:r>
      <w:r>
        <w:rPr>
          <w:color w:val="1D1D1B"/>
          <w:sz w:val="28"/>
          <w:szCs w:val="28"/>
          <w:bdr w:val="none" w:sz="0" w:space="0" w:color="auto" w:frame="1"/>
        </w:rPr>
        <w:t>визначених цією Інструкцією, а також інструкціями фінансового відділу</w:t>
      </w:r>
      <w:r>
        <w:rPr>
          <w:color w:val="000000"/>
          <w:sz w:val="28"/>
          <w:szCs w:val="28"/>
          <w:bdr w:val="none" w:sz="0" w:space="0" w:color="auto" w:frame="1"/>
          <w:shd w:val="clear" w:color="auto" w:fill="FFFFFF"/>
        </w:rPr>
        <w:t>.</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10.Фінансовий відділ вживає заходів для усунення розбіжностей з головними розпорядниками щодо показників, що містяться у бюджетних пропозиціях (шляхом проведення погоджувальних нарад, консультацій, робочих зустрічей).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11. За результатами вжитих заходів, у разі наявності інформації щодо отримання міжбюджетних трансфертів з інших місцевих бюджетів фінансовий відділ доводить до окремих головних розпорядників уточнені орієнтовні граничні показники, відповідно до яких головний розпорядник коштів має надати уточнену бюджетну пропозицію у терміни, визначені фінансовим відділом.</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12. Інформація, що міститься у бюджетних пропозиціях головних розпорядників, є основою для складання прогнозу місцевого бюджету.</w:t>
      </w:r>
    </w:p>
    <w:p w:rsidR="007366CC" w:rsidRDefault="007366CC" w:rsidP="0009287B">
      <w:pPr>
        <w:pStyle w:val="a3"/>
        <w:shd w:val="clear" w:color="auto" w:fill="FFFFFF"/>
        <w:spacing w:before="225" w:beforeAutospacing="0" w:after="225" w:afterAutospacing="0"/>
        <w:ind w:firstLine="709"/>
        <w:jc w:val="center"/>
        <w:rPr>
          <w:rFonts w:ascii="Arial" w:hAnsi="Arial" w:cs="Arial"/>
          <w:color w:val="1D1D1B"/>
          <w:sz w:val="26"/>
          <w:szCs w:val="26"/>
        </w:rPr>
      </w:pPr>
      <w:r>
        <w:rPr>
          <w:b/>
          <w:bCs/>
          <w:color w:val="000000"/>
          <w:sz w:val="28"/>
          <w:szCs w:val="28"/>
          <w:bdr w:val="none" w:sz="0" w:space="0" w:color="auto" w:frame="1"/>
          <w:shd w:val="clear" w:color="auto" w:fill="FFFFFF"/>
        </w:rPr>
        <w:t>ІV.   Заповнення </w:t>
      </w:r>
      <w:hyperlink r:id="rId14" w:anchor="n261" w:history="1">
        <w:r>
          <w:rPr>
            <w:rStyle w:val="a4"/>
            <w:b/>
            <w:bCs/>
            <w:color w:val="000000"/>
            <w:sz w:val="28"/>
            <w:szCs w:val="28"/>
            <w:bdr w:val="none" w:sz="0" w:space="0" w:color="auto" w:frame="1"/>
            <w:shd w:val="clear" w:color="auto" w:fill="FFFFFF"/>
          </w:rPr>
          <w:t>Форми БП-1</w:t>
        </w:r>
      </w:hyperlink>
    </w:p>
    <w:p w:rsidR="007366CC" w:rsidRDefault="007366CC" w:rsidP="0009287B">
      <w:pPr>
        <w:pStyle w:val="a3"/>
        <w:shd w:val="clear" w:color="auto" w:fill="FFFFFF"/>
        <w:spacing w:before="225" w:beforeAutospacing="0" w:after="225" w:afterAutospacing="0"/>
        <w:ind w:firstLine="709"/>
        <w:jc w:val="both"/>
        <w:rPr>
          <w:rFonts w:ascii="Arial" w:hAnsi="Arial" w:cs="Arial"/>
          <w:color w:val="1D1D1B"/>
          <w:sz w:val="26"/>
          <w:szCs w:val="26"/>
        </w:rPr>
      </w:pPr>
      <w:r>
        <w:rPr>
          <w:rFonts w:ascii="Arial" w:hAnsi="Arial" w:cs="Arial"/>
          <w:color w:val="1D1D1B"/>
          <w:sz w:val="26"/>
          <w:szCs w:val="26"/>
        </w:rPr>
        <w:t> </w:t>
      </w:r>
      <w:r>
        <w:rPr>
          <w:color w:val="000000"/>
          <w:sz w:val="28"/>
          <w:szCs w:val="28"/>
          <w:bdr w:val="none" w:sz="0" w:space="0" w:color="auto" w:frame="1"/>
          <w:shd w:val="clear" w:color="auto" w:fill="FFFFFF"/>
        </w:rPr>
        <w:t xml:space="preserve">1. У Формі БП-1 наводиться інформація про досягнення цілей державної політики за рахунок коштів загального та спеціального фондів </w:t>
      </w:r>
      <w:proofErr w:type="spellStart"/>
      <w:r>
        <w:rPr>
          <w:color w:val="000000"/>
          <w:sz w:val="28"/>
          <w:szCs w:val="28"/>
          <w:bdr w:val="none" w:sz="0" w:space="0" w:color="auto" w:frame="1"/>
          <w:shd w:val="clear" w:color="auto" w:fill="FFFFFF"/>
        </w:rPr>
        <w:t>умежах</w:t>
      </w:r>
      <w:proofErr w:type="spellEnd"/>
      <w:r>
        <w:rPr>
          <w:color w:val="000000"/>
          <w:sz w:val="28"/>
          <w:szCs w:val="28"/>
          <w:bdr w:val="none" w:sz="0" w:space="0" w:color="auto" w:frame="1"/>
          <w:shd w:val="clear" w:color="auto" w:fill="FFFFFF"/>
        </w:rPr>
        <w:t xml:space="preserve"> орієнтовних граничних показників на середньостроковий період, доведених фінансовим відділом та розрахованих головним розпорядником надходжень спеціального фонду.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 xml:space="preserve">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політики, висвітлювати найбільш суспільно значущі результати його діяльності та </w:t>
      </w:r>
      <w:r>
        <w:rPr>
          <w:color w:val="000000"/>
          <w:sz w:val="28"/>
          <w:szCs w:val="28"/>
          <w:bdr w:val="none" w:sz="0" w:space="0" w:color="auto" w:frame="1"/>
          <w:shd w:val="clear" w:color="auto" w:fill="FFFFFF"/>
        </w:rPr>
        <w:lastRenderedPageBreak/>
        <w:t>враховувати відповідні показники діяльності відповідальних виконавців бюджетних програм.</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2. У пункті 1 зазначається найменування головного розпорядника коштів місцевого бюджету, код</w:t>
      </w:r>
      <w:r>
        <w:rPr>
          <w:color w:val="1D1D1B"/>
          <w:bdr w:val="none" w:sz="0" w:space="0" w:color="auto" w:frame="1"/>
          <w:shd w:val="clear" w:color="auto" w:fill="FFFFFF"/>
        </w:rPr>
        <w:t> </w:t>
      </w:r>
      <w:hyperlink r:id="rId15" w:anchor="n68" w:history="1">
        <w:r>
          <w:rPr>
            <w:rStyle w:val="a4"/>
            <w:color w:val="000000"/>
            <w:sz w:val="28"/>
            <w:szCs w:val="28"/>
            <w:bdr w:val="none" w:sz="0" w:space="0" w:color="auto" w:frame="1"/>
            <w:shd w:val="clear" w:color="auto" w:fill="FFFFFF"/>
          </w:rPr>
          <w:t>Типової відомчої класифікації видатків та кредитування місцевого бюджету</w:t>
        </w:r>
      </w:hyperlink>
      <w:r>
        <w:rPr>
          <w:color w:val="000000"/>
          <w:sz w:val="28"/>
          <w:szCs w:val="28"/>
          <w:bdr w:val="none" w:sz="0" w:space="0" w:color="auto" w:frame="1"/>
          <w:shd w:val="clear" w:color="auto" w:fill="FFFFFF"/>
        </w:rPr>
        <w:t>, код за ЄДРПОУ, а також код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3.  У пункті 2 зазначається мета діяльності головного розпорядника.</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4. У пункті 3 наводиться перелік цілей державної політики у сферах діяльності, реалізацію яких забезпечує головний розпорядник коштів місцевого бюджету, зокрема таких, що висвітлюють врахування гендерного та кліматичного аспектів, а також показники їх досягнення за рахунок коштів загального та спеціального фондів разом:</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1, 2 - порядковий номер та найменування цілі державної політики;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3 - одиниця виміру показника досягнення цілей;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4 - показники відповідно до річного звіту за попередній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5 - показники, затверджені розписом на поточний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6-8 - розподіл показників на середньостроковий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Не виділяються окремими рядками цілі державної політики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разі зміни формулювання цілі державної політики у цьому пункті наводиться ціль у редакції, що передбачається на середньостроковий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Цілі державної політики мають:</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спрямовуватися на досягнення певного результату;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оцінюватися за допомогою показників досягнення цілей;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Не допускаються під час визначення цілей такі формулювання, як «реалізація державної політики», «забезпечення діяльності», «виконання зобов’язань».</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lastRenderedPageBreak/>
        <w:t>Кількість цілей державної політики не має перевищувати п’яти. Одна ціль державної політики може виконуватися в межах декількох бюджетних програм.</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Для кожної цілі державної політики необхідно визначити показники її досягнення.</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Показники досягнення цілей виконавчих органів місцевих рад повинні характеризувати досягнення та зрушення, що відбулися на території відповідної адміністративно-територіальної одиниці.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Показники досягнення цілей мають:</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бути кількісно вимірюваними;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характеризувати прогрес у досягненні цілей державної політики у середньостроковому періоді;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характеризувати стан та зміни у сфері діяльності головного розпорядника;</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надавати можливість відстеження досягнення цілей державної політики у динаміці та порівнянності показників досягнення цілей за роками;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висвітлювати ефект, який отримують економіка та суспільство завдяки діяльності головного розпорядника;</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Під час визначення показників досягнення цілей державної політики необхідно враховувати усі витрати головного розпорядника на відповідну сферу діяльності, включаючи міжбюджетні трансферти.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Показники досягнення цілей, визначені для однієї цілі державної політики, не повинні дублюватися для іншої.</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5. У пункті 4 наводиться інформація щодо обсягів та структури видатків і надання кредитів за усіма бюджетними програмами.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підпункті 4.1 зазначаються відповідальні виконавці бюджетних програм і видатки та надання кредитів за бюджетними програмами за загальним та спеціальним фондами, у тому числі за бюджетом розвитку: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1 - номер цілі державної політики, визначеної у пункті 3 цієї форми;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2-4 - код відповідної класифікації видатків та кредитування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5</w:t>
      </w:r>
      <w:r>
        <w:rPr>
          <w:color w:val="1D1D1B"/>
          <w:bdr w:val="none" w:sz="0" w:space="0" w:color="auto" w:frame="1"/>
          <w:shd w:val="clear" w:color="auto" w:fill="FFFFFF"/>
        </w:rPr>
        <w:t> </w:t>
      </w:r>
      <w:r>
        <w:rPr>
          <w:color w:val="000000"/>
          <w:sz w:val="28"/>
          <w:szCs w:val="28"/>
          <w:bdr w:val="none" w:sz="0" w:space="0" w:color="auto" w:frame="1"/>
          <w:shd w:val="clear" w:color="auto" w:fill="FFFFFF"/>
        </w:rPr>
        <w:t>-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lastRenderedPageBreak/>
        <w:t>у графі 6 (202_рік (звіт)) - показники відповідно до річного звіту за попередній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7 (202_рік (затверджено)) - показники, затверджені розписом на поточний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8 - 10 (</w:t>
      </w:r>
      <w:r>
        <w:rPr>
          <w:color w:val="1D1D1B"/>
          <w:sz w:val="28"/>
          <w:szCs w:val="28"/>
          <w:bdr w:val="none" w:sz="0" w:space="0" w:color="auto" w:frame="1"/>
        </w:rPr>
        <w:t xml:space="preserve">202_  - 202__ </w:t>
      </w:r>
      <w:proofErr w:type="spellStart"/>
      <w:r>
        <w:rPr>
          <w:color w:val="000000"/>
          <w:sz w:val="28"/>
          <w:szCs w:val="28"/>
          <w:bdr w:val="none" w:sz="0" w:space="0" w:color="auto" w:frame="1"/>
          <w:shd w:val="clear" w:color="auto" w:fill="FFFFFF"/>
        </w:rPr>
        <w:t>р.р</w:t>
      </w:r>
      <w:proofErr w:type="spellEnd"/>
      <w:r>
        <w:rPr>
          <w:color w:val="000000"/>
          <w:sz w:val="28"/>
          <w:szCs w:val="28"/>
          <w:bdr w:val="none" w:sz="0" w:space="0" w:color="auto" w:frame="1"/>
          <w:shd w:val="clear" w:color="auto" w:fill="FFFFFF"/>
        </w:rPr>
        <w:t>. (план)) - розподіл показників на середньостроковий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6. 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 програмами за загальним та спеціальним фондами.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разі якщо реалізація бюджетної програми не передбачається у середньостроковому періоді, здійснюється співставлення показників відповідно до пункту 6 розділу третього цієї інструкції.</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підпункті 4.2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із поточним бюджетним періодом.</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7</w:t>
      </w:r>
      <w:r>
        <w:rPr>
          <w:color w:val="000000"/>
          <w:sz w:val="28"/>
          <w:szCs w:val="28"/>
          <w:bdr w:val="none" w:sz="0" w:space="0" w:color="auto" w:frame="1"/>
          <w:shd w:val="clear" w:color="auto" w:fill="FFFFFF"/>
        </w:rPr>
        <w:t>. У пункті 5 наводиться інформація щодо відмінностей показників на перший та другий роки середньострокового періоду, включених до пропозиції до прогнозу місцевого бюджету, від показників на другий та третій роки середньострокового періоду, передбачених прогнозом місцевого бюджету, схваленого у попередньому бюджетному періоді.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У підпункті 5.1 наводяться інформація щодо обсягів видатків та надання кредитів, цілі державної, регіональної та місцевої політик та показники їх досягнення:</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у графі 1 - найменування цілей державної, регіональної та місцевої політик та показників їх досягнення;</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у графі 2 - одиниця виміру показника досягнення цілей;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у графах 3, 6 - показники видатків / надання кредитів, передбачені прогнозом місцевого бюджету, схваленого у попередньому бюджетному періоді;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у графах 4, 7 - показники видатків / надання кредитів, включені до пропозиції до прогнозу місцевого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1D1D1B"/>
          <w:sz w:val="28"/>
          <w:szCs w:val="28"/>
          <w:bdr w:val="none" w:sz="0" w:space="0" w:color="auto" w:frame="1"/>
        </w:rPr>
        <w:t>у графах 5, 8 розраховується відхилення показників видатків / надання кредитів, включених до пропозиції до прогнозу місцевого бюджету, від відповідних показників прогнозу місцевого бюджету, схваленого у попередньому бюджетному періоді.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підпункті 5.2 зазначається пояснення відмінностей показників, включених до бюджетної пропозиції, від відповідних показників прогнозу місцевого бюджету, схваленого у попередньому бюджетному періоді.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p>
    <w:p w:rsidR="007366CC" w:rsidRDefault="007366CC" w:rsidP="007366CC">
      <w:pPr>
        <w:pStyle w:val="a3"/>
        <w:shd w:val="clear" w:color="auto" w:fill="FFFFFF"/>
        <w:spacing w:before="0" w:beforeAutospacing="0" w:after="0" w:afterAutospacing="0"/>
        <w:ind w:firstLine="709"/>
        <w:jc w:val="center"/>
        <w:rPr>
          <w:rFonts w:ascii="Arial" w:hAnsi="Arial" w:cs="Arial"/>
          <w:color w:val="1D1D1B"/>
          <w:sz w:val="26"/>
          <w:szCs w:val="26"/>
        </w:rPr>
      </w:pPr>
      <w:r>
        <w:rPr>
          <w:b/>
          <w:bCs/>
          <w:color w:val="000000"/>
          <w:sz w:val="28"/>
          <w:szCs w:val="28"/>
          <w:bdr w:val="none" w:sz="0" w:space="0" w:color="auto" w:frame="1"/>
          <w:shd w:val="clear" w:color="auto" w:fill="FFFFFF"/>
        </w:rPr>
        <w:t>V.   Заповнення </w:t>
      </w:r>
      <w:hyperlink r:id="rId16" w:anchor="n271" w:history="1">
        <w:r>
          <w:rPr>
            <w:rStyle w:val="a4"/>
            <w:b/>
            <w:bCs/>
            <w:color w:val="000000"/>
            <w:sz w:val="28"/>
            <w:szCs w:val="28"/>
            <w:bdr w:val="none" w:sz="0" w:space="0" w:color="auto" w:frame="1"/>
            <w:shd w:val="clear" w:color="auto" w:fill="FFFFFF"/>
          </w:rPr>
          <w:t>Форми БП-2</w:t>
        </w:r>
      </w:hyperlink>
    </w:p>
    <w:p w:rsidR="007366CC" w:rsidRDefault="007366CC" w:rsidP="007366CC">
      <w:pPr>
        <w:pStyle w:val="a3"/>
        <w:shd w:val="clear" w:color="auto" w:fill="FFFFFF"/>
        <w:spacing w:before="225" w:beforeAutospacing="0" w:after="225" w:afterAutospacing="0"/>
        <w:ind w:firstLine="709"/>
        <w:jc w:val="center"/>
        <w:rPr>
          <w:rFonts w:ascii="Arial" w:hAnsi="Arial" w:cs="Arial"/>
          <w:color w:val="1D1D1B"/>
          <w:sz w:val="26"/>
          <w:szCs w:val="26"/>
        </w:rPr>
      </w:pPr>
      <w:r>
        <w:rPr>
          <w:rFonts w:ascii="Arial" w:hAnsi="Arial" w:cs="Arial"/>
          <w:color w:val="1D1D1B"/>
          <w:sz w:val="26"/>
          <w:szCs w:val="26"/>
        </w:rPr>
        <w:t> </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lastRenderedPageBreak/>
        <w:t>1. У Формі БП-2 наводиться детальна інформація за кожною бюджетною програмою, що пропонується до виконання у середньостроковому періоді.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2. Форма БП-2 складається за кожною бюджетною програмою окремо, крім бюджетних програм, які: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не передбачаються на середньостроковий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резервного фонду місцевого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Інформація, що наводиться у Формі БП-2, узгоджується з інформацією, наведеною у Формі БП-1.</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3. 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4. Мета, завдання та напрями бюджетної програми визначаються відповідно до положень наказу Міністерства фінансів України від 26 серпня 2014 року</w:t>
      </w:r>
      <w:r>
        <w:rPr>
          <w:color w:val="1D1D1B"/>
          <w:bdr w:val="none" w:sz="0" w:space="0" w:color="auto" w:frame="1"/>
          <w:shd w:val="clear" w:color="auto" w:fill="FFFFFF"/>
        </w:rPr>
        <w:t> </w:t>
      </w:r>
      <w:hyperlink r:id="rId17" w:history="1">
        <w:r>
          <w:rPr>
            <w:rStyle w:val="a4"/>
            <w:color w:val="000000"/>
            <w:sz w:val="28"/>
            <w:szCs w:val="28"/>
            <w:bdr w:val="none" w:sz="0" w:space="0" w:color="auto" w:frame="1"/>
            <w:shd w:val="clear" w:color="auto" w:fill="FFFFFF"/>
          </w:rPr>
          <w:t>№ 836</w:t>
        </w:r>
      </w:hyperlink>
      <w:r>
        <w:rPr>
          <w:color w:val="1D1D1B"/>
          <w:bdr w:val="none" w:sz="0" w:space="0" w:color="auto" w:frame="1"/>
          <w:shd w:val="clear" w:color="auto" w:fill="FFFFFF"/>
        </w:rPr>
        <w:t> </w:t>
      </w:r>
      <w:r>
        <w:rPr>
          <w:color w:val="000000"/>
          <w:sz w:val="28"/>
          <w:szCs w:val="28"/>
          <w:bdr w:val="none" w:sz="0" w:space="0" w:color="auto" w:frame="1"/>
          <w:shd w:val="clear" w:color="auto" w:fill="FFFFFF"/>
        </w:rPr>
        <w:t>«Про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повинні відповідати цілям державної, регіональної та місцевої політик та показникам їх досягнення, наведеними у пункті 3 Форми БП-1.</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5. У пункті 1 зазначаються найменування головного розпорядника коштів місцевого бюджету, код</w:t>
      </w:r>
      <w:r>
        <w:rPr>
          <w:color w:val="1D1D1B"/>
          <w:bdr w:val="none" w:sz="0" w:space="0" w:color="auto" w:frame="1"/>
          <w:shd w:val="clear" w:color="auto" w:fill="FFFFFF"/>
        </w:rPr>
        <w:t> </w:t>
      </w:r>
      <w:hyperlink r:id="rId18" w:anchor="n68" w:history="1">
        <w:r>
          <w:rPr>
            <w:rStyle w:val="a4"/>
            <w:color w:val="000000"/>
            <w:sz w:val="28"/>
            <w:szCs w:val="28"/>
            <w:bdr w:val="none" w:sz="0" w:space="0" w:color="auto" w:frame="1"/>
            <w:shd w:val="clear" w:color="auto" w:fill="FFFFFF"/>
          </w:rPr>
          <w:t>Типової відомчої класифікації видатків та кредитування місцевого бюджету</w:t>
        </w:r>
      </w:hyperlink>
      <w:r>
        <w:rPr>
          <w:color w:val="000000"/>
          <w:sz w:val="28"/>
          <w:szCs w:val="28"/>
          <w:bdr w:val="none" w:sz="0" w:space="0" w:color="auto" w:frame="1"/>
          <w:shd w:val="clear" w:color="auto" w:fill="FFFFFF"/>
        </w:rPr>
        <w:t>, код за ЄДРПОУ, а також код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6. 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7. У пункті 3 зазначаються найменування бюджетної програми згідно з</w:t>
      </w:r>
      <w:r>
        <w:rPr>
          <w:color w:val="1D1D1B"/>
          <w:bdr w:val="none" w:sz="0" w:space="0" w:color="auto" w:frame="1"/>
          <w:shd w:val="clear" w:color="auto" w:fill="FFFFFF"/>
        </w:rPr>
        <w:t> </w:t>
      </w:r>
      <w:hyperlink r:id="rId19" w:anchor="n73" w:history="1">
        <w:r>
          <w:rPr>
            <w:rStyle w:val="a4"/>
            <w:color w:val="000000"/>
            <w:sz w:val="28"/>
            <w:szCs w:val="28"/>
            <w:bdr w:val="none" w:sz="0" w:space="0" w:color="auto" w:frame="1"/>
            <w:shd w:val="clear" w:color="auto" w:fill="FFFFFF"/>
          </w:rPr>
          <w:t>Типовою програмною класифікацією видатків та кредитування місцевого бюджету</w:t>
        </w:r>
      </w:hyperlink>
      <w:r>
        <w:rPr>
          <w:color w:val="000000"/>
          <w:sz w:val="28"/>
          <w:szCs w:val="28"/>
          <w:bdr w:val="none" w:sz="0" w:space="0" w:color="auto" w:frame="1"/>
          <w:shd w:val="clear" w:color="auto" w:fill="FFFFFF"/>
        </w:rPr>
        <w:t>,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8. У пункті 4 зазначаються мета, завдання та законодавчі підстави реалізації бюджетної програми: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підпункті 4.1 - ціль державної, регіональної та місцевої політик;</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підпункті  4.2 - мета бюджетної програми;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підпункті 4.3 - завдання бюджетної програми;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підпункті 4.4 - підстави для реалізації бюджетної програми.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lastRenderedPageBreak/>
        <w:t>9. У пункті 5 зазначаються усі надходження для виконання бюджетної програми, підстави та обґрунтування надходжень спеціального фонду.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Надходження загального фонду зазначаються з урахуванням міжбюджетних трансфертів, доведених у загальних орієнтовних граничних показниках.</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підпункту 4.1 пункту 4 Форми БП-1 за відповідною бюджетною програмою.</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Під час заповнення підпункту 5.1 у частині власних надходжень бюджетних установ головні розпорядники керуються</w:t>
      </w:r>
      <w:r>
        <w:rPr>
          <w:color w:val="1D1D1B"/>
          <w:bdr w:val="none" w:sz="0" w:space="0" w:color="auto" w:frame="1"/>
          <w:shd w:val="clear" w:color="auto" w:fill="FFFFFF"/>
        </w:rPr>
        <w:t>  </w:t>
      </w:r>
      <w:hyperlink r:id="rId20" w:anchor="n261" w:history="1">
        <w:r>
          <w:rPr>
            <w:rStyle w:val="a4"/>
            <w:color w:val="000000"/>
            <w:sz w:val="28"/>
            <w:szCs w:val="28"/>
            <w:bdr w:val="none" w:sz="0" w:space="0" w:color="auto" w:frame="1"/>
            <w:shd w:val="clear" w:color="auto" w:fill="FFFFFF"/>
          </w:rPr>
          <w:t>частиною</w:t>
        </w:r>
      </w:hyperlink>
      <w:r>
        <w:rPr>
          <w:color w:val="1D1D1B"/>
          <w:bdr w:val="none" w:sz="0" w:space="0" w:color="auto" w:frame="1"/>
          <w:shd w:val="clear" w:color="auto" w:fill="FFFFFF"/>
        </w:rPr>
        <w:t> </w:t>
      </w:r>
      <w:hyperlink r:id="rId21" w:anchor="n261" w:history="1">
        <w:r>
          <w:rPr>
            <w:rStyle w:val="a4"/>
            <w:color w:val="000000"/>
            <w:sz w:val="28"/>
            <w:szCs w:val="28"/>
            <w:bdr w:val="none" w:sz="0" w:space="0" w:color="auto" w:frame="1"/>
            <w:shd w:val="clear" w:color="auto" w:fill="FFFFFF"/>
          </w:rPr>
          <w:t> четвертою</w:t>
        </w:r>
      </w:hyperlink>
      <w:r>
        <w:rPr>
          <w:color w:val="1D1D1B"/>
          <w:bdr w:val="none" w:sz="0" w:space="0" w:color="auto" w:frame="1"/>
          <w:shd w:val="clear" w:color="auto" w:fill="FFFFFF"/>
        </w:rPr>
        <w:t>  </w:t>
      </w:r>
      <w:r>
        <w:rPr>
          <w:color w:val="000000"/>
          <w:sz w:val="28"/>
          <w:szCs w:val="28"/>
          <w:bdr w:val="none" w:sz="0" w:space="0" w:color="auto" w:frame="1"/>
          <w:shd w:val="clear" w:color="auto" w:fill="FFFFFF"/>
        </w:rPr>
        <w:t>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Повернення кредитів до бюджету відображаються зі знаком «-».</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разі, якщо за бюджетною програмою плануються надходження за спеціальним фондом, про це зазначається у підпункті 5.2 і навести: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нормативно-правові акти з посиланням на конкретні статті (пункти), якими надано повноваження на отримання надходжень спеціального фонду;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основні підходи до розрахунку власних надходжень бюджетних установ, інших надходжень спеціального фонду на середньостроковий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Загальний обсяг надходжень для виконання бюджетної програми у графах 3-7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10. 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w:t>
      </w:r>
      <w:r>
        <w:rPr>
          <w:color w:val="1D1D1B"/>
          <w:bdr w:val="none" w:sz="0" w:space="0" w:color="auto" w:frame="1"/>
          <w:shd w:val="clear" w:color="auto" w:fill="FFFFFF"/>
        </w:rPr>
        <w:t>  </w:t>
      </w:r>
      <w:hyperlink r:id="rId22" w:anchor="n35" w:history="1">
        <w:r>
          <w:rPr>
            <w:rStyle w:val="a4"/>
            <w:color w:val="000000"/>
            <w:sz w:val="28"/>
            <w:szCs w:val="28"/>
            <w:bdr w:val="none" w:sz="0" w:space="0" w:color="auto" w:frame="1"/>
            <w:shd w:val="clear" w:color="auto" w:fill="FFFFFF"/>
          </w:rPr>
          <w:t>Економічної класифікації видатків бюджету</w:t>
        </w:r>
      </w:hyperlink>
      <w:r>
        <w:rPr>
          <w:color w:val="1D1D1B"/>
          <w:bdr w:val="none" w:sz="0" w:space="0" w:color="auto" w:frame="1"/>
          <w:shd w:val="clear" w:color="auto" w:fill="FFFFFF"/>
        </w:rPr>
        <w:t> </w:t>
      </w:r>
      <w:r>
        <w:rPr>
          <w:color w:val="000000"/>
          <w:sz w:val="28"/>
          <w:szCs w:val="28"/>
          <w:bdr w:val="none" w:sz="0" w:space="0" w:color="auto" w:frame="1"/>
          <w:shd w:val="clear" w:color="auto" w:fill="FFFFFF"/>
        </w:rPr>
        <w:t>або</w:t>
      </w:r>
      <w:r>
        <w:rPr>
          <w:color w:val="1D1D1B"/>
          <w:bdr w:val="none" w:sz="0" w:space="0" w:color="auto" w:frame="1"/>
          <w:shd w:val="clear" w:color="auto" w:fill="FFFFFF"/>
        </w:rPr>
        <w:t> </w:t>
      </w:r>
      <w:hyperlink r:id="rId23" w:anchor="n40" w:history="1">
        <w:r>
          <w:rPr>
            <w:rStyle w:val="a4"/>
            <w:color w:val="000000"/>
            <w:sz w:val="28"/>
            <w:szCs w:val="28"/>
            <w:bdr w:val="none" w:sz="0" w:space="0" w:color="auto" w:frame="1"/>
            <w:shd w:val="clear" w:color="auto" w:fill="FFFFFF"/>
          </w:rPr>
          <w:t>Класифікації кредитування бюджету</w:t>
        </w:r>
      </w:hyperlink>
      <w:r>
        <w:rPr>
          <w:color w:val="000000"/>
          <w:sz w:val="28"/>
          <w:szCs w:val="28"/>
          <w:bdr w:val="none" w:sz="0" w:space="0" w:color="auto" w:frame="1"/>
          <w:shd w:val="clear" w:color="auto" w:fill="FFFFFF"/>
        </w:rPr>
        <w:t>:</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1, 2 підпунктів 6.1, 6.2 - коди Економічної класифікації видатків бюджету / коди Класифікації кредитування бюджету та їх найменування;</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3 підпунктів 6.1, 6.2 (202_ рік (звіт)) - видатки або надання кредитів відповідно до річного звіту за попередній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4 підпунктів 6.1, 6.2 (202_рік (затверджено)) - показники, затверджені розписом на поточний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5-7 підпунктів 6.1, 6.2 (</w:t>
      </w:r>
      <w:r>
        <w:rPr>
          <w:color w:val="1D1D1B"/>
          <w:sz w:val="28"/>
          <w:szCs w:val="28"/>
          <w:bdr w:val="none" w:sz="0" w:space="0" w:color="auto" w:frame="1"/>
        </w:rPr>
        <w:t xml:space="preserve">202_  - 202__ </w:t>
      </w:r>
      <w:proofErr w:type="spellStart"/>
      <w:r>
        <w:rPr>
          <w:color w:val="000000"/>
          <w:sz w:val="28"/>
          <w:szCs w:val="28"/>
          <w:bdr w:val="none" w:sz="0" w:space="0" w:color="auto" w:frame="1"/>
          <w:shd w:val="clear" w:color="auto" w:fill="FFFFFF"/>
        </w:rPr>
        <w:t>р.р</w:t>
      </w:r>
      <w:proofErr w:type="spellEnd"/>
      <w:r>
        <w:rPr>
          <w:color w:val="000000"/>
          <w:sz w:val="28"/>
          <w:szCs w:val="28"/>
          <w:bdr w:val="none" w:sz="0" w:space="0" w:color="auto" w:frame="1"/>
          <w:shd w:val="clear" w:color="auto" w:fill="FFFFFF"/>
        </w:rPr>
        <w:t>. (план)) - розподіл показників на середньостроковий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 xml:space="preserve">Показники, зазначені у графах 3-7 у рядку «загальний фонд» підпункту 6.1 та у графах 3-7 у рядку «загальний фонд» підпункту 6.2, повинні дорівнювати </w:t>
      </w:r>
      <w:r>
        <w:rPr>
          <w:color w:val="000000"/>
          <w:sz w:val="28"/>
          <w:szCs w:val="28"/>
          <w:bdr w:val="none" w:sz="0" w:space="0" w:color="auto" w:frame="1"/>
          <w:shd w:val="clear" w:color="auto" w:fill="FFFFFF"/>
        </w:rPr>
        <w:lastRenderedPageBreak/>
        <w:t>показникам у графах 6-10 у рядку «загальний фонд» підпункту 4.1 пункту 4 Форми БП-1 відповідної бюджетної програми і показникам у графах 3-7 у рядку «загальний фонд, у тому числі:» підпункту 5.1 пункту 5 Форми БП-2.</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 xml:space="preserve">Показники, зазначені у графах 3-7 у рядку «спеціальний фонд, у тому числі:» підпункту 6.1 та у графах 3-7 у рядку «спеціальний фонд, у тому числі:» підпункту 6.2, повинні дорівнювати показникам у графах 6-10 у рядку «спеціальний фонд, у тому числі:» підпункту </w:t>
      </w:r>
      <w:proofErr w:type="spellStart"/>
      <w:r>
        <w:rPr>
          <w:color w:val="000000"/>
          <w:sz w:val="28"/>
          <w:szCs w:val="28"/>
          <w:bdr w:val="none" w:sz="0" w:space="0" w:color="auto" w:frame="1"/>
          <w:shd w:val="clear" w:color="auto" w:fill="FFFFFF"/>
        </w:rPr>
        <w:t>підпункту</w:t>
      </w:r>
      <w:proofErr w:type="spellEnd"/>
      <w:r>
        <w:rPr>
          <w:color w:val="000000"/>
          <w:sz w:val="28"/>
          <w:szCs w:val="28"/>
          <w:bdr w:val="none" w:sz="0" w:space="0" w:color="auto" w:frame="1"/>
          <w:shd w:val="clear" w:color="auto" w:fill="FFFFFF"/>
        </w:rPr>
        <w:t> 4.1 пункту 4 Форми БП-1</w:t>
      </w:r>
      <w:r>
        <w:rPr>
          <w:color w:val="1D1D1B"/>
          <w:bdr w:val="none" w:sz="0" w:space="0" w:color="auto" w:frame="1"/>
          <w:shd w:val="clear" w:color="auto" w:fill="FFFFFF"/>
        </w:rPr>
        <w:t> </w:t>
      </w:r>
      <w:r>
        <w:rPr>
          <w:color w:val="000000"/>
          <w:sz w:val="28"/>
          <w:szCs w:val="28"/>
          <w:bdr w:val="none" w:sz="0" w:space="0" w:color="auto" w:frame="1"/>
          <w:shd w:val="clear" w:color="auto" w:fill="FFFFFF"/>
        </w:rPr>
        <w:t>відповідної бюджетної програми і показникам у графах 3-7 у рядку «спеціальний фонд, у тому числі:» підпункту 5.1 пункту 5 Форми БП-2.</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Під час заповнення підпункту 6.1 необхідно відображати видатки у розрізі кодів </w:t>
      </w:r>
      <w:hyperlink r:id="rId24" w:anchor="n35" w:history="1">
        <w:r>
          <w:rPr>
            <w:rStyle w:val="a4"/>
            <w:color w:val="000000"/>
            <w:sz w:val="28"/>
            <w:szCs w:val="28"/>
            <w:bdr w:val="none" w:sz="0" w:space="0" w:color="auto" w:frame="1"/>
            <w:shd w:val="clear" w:color="auto" w:fill="FFFFFF"/>
          </w:rPr>
          <w:t>Економічної класифікації видатків бюджету</w:t>
        </w:r>
      </w:hyperlink>
      <w:r>
        <w:rPr>
          <w:color w:val="000000"/>
          <w:sz w:val="28"/>
          <w:szCs w:val="28"/>
          <w:bdr w:val="none" w:sz="0" w:space="0" w:color="auto" w:frame="1"/>
          <w:shd w:val="clear" w:color="auto" w:fill="FFFFFF"/>
        </w:rPr>
        <w:t> (2110, 2120, 2210, 2220, 2230, 2240, 2250, 2260, 2270, 2281, 2282, 2400, 2610, 2620, 2630, 2700, 2800, 3110, 3120, 3130, 3140, 3150, 3160, 3210, 3220, 3230, 3240).</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Під час заповнення підпункту 6.2 показники надання кредитів доцільно відображати за кодами </w:t>
      </w:r>
      <w:hyperlink r:id="rId25" w:anchor="n40" w:history="1">
        <w:r>
          <w:rPr>
            <w:rStyle w:val="a4"/>
            <w:color w:val="000000"/>
            <w:sz w:val="28"/>
            <w:szCs w:val="28"/>
            <w:bdr w:val="none" w:sz="0" w:space="0" w:color="auto" w:frame="1"/>
            <w:shd w:val="clear" w:color="auto" w:fill="FFFFFF"/>
          </w:rPr>
          <w:t>Класифікації кредитування бюджету</w:t>
        </w:r>
      </w:hyperlink>
      <w:r>
        <w:rPr>
          <w:color w:val="000000"/>
          <w:sz w:val="28"/>
          <w:szCs w:val="28"/>
          <w:bdr w:val="none" w:sz="0" w:space="0" w:color="auto" w:frame="1"/>
          <w:shd w:val="clear" w:color="auto" w:fill="FFFFFF"/>
        </w:rPr>
        <w:t> 4110, 4210.</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11. 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1, 2 зазначаються порядковий номер та напрям використання бюджетних коштів;</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3 (202__ рік (звіт)) - видатки або надання кредитів відповідно до річного звіту за попередній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4 (202_ рік (затверджено)) - показники, затверджені розписом на поточний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5-7 (</w:t>
      </w:r>
      <w:r>
        <w:rPr>
          <w:color w:val="1D1D1B"/>
          <w:sz w:val="28"/>
          <w:szCs w:val="28"/>
          <w:bdr w:val="none" w:sz="0" w:space="0" w:color="auto" w:frame="1"/>
        </w:rPr>
        <w:t xml:space="preserve">202_  - 202__ </w:t>
      </w:r>
      <w:proofErr w:type="spellStart"/>
      <w:r>
        <w:rPr>
          <w:color w:val="000000"/>
          <w:sz w:val="28"/>
          <w:szCs w:val="28"/>
          <w:bdr w:val="none" w:sz="0" w:space="0" w:color="auto" w:frame="1"/>
          <w:shd w:val="clear" w:color="auto" w:fill="FFFFFF"/>
        </w:rPr>
        <w:t>р.р</w:t>
      </w:r>
      <w:proofErr w:type="spellEnd"/>
      <w:r>
        <w:rPr>
          <w:color w:val="000000"/>
          <w:sz w:val="28"/>
          <w:szCs w:val="28"/>
          <w:bdr w:val="none" w:sz="0" w:space="0" w:color="auto" w:frame="1"/>
          <w:shd w:val="clear" w:color="auto" w:fill="FFFFFF"/>
        </w:rPr>
        <w:t>. (план)) - розподіл показників на середньостроковий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12. У пункті 8 наводяться показники міжбюджетних трансфертів.</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1 - код </w:t>
      </w:r>
      <w:hyperlink r:id="rId26" w:anchor="n25" w:history="1">
        <w:r>
          <w:rPr>
            <w:rStyle w:val="a4"/>
            <w:color w:val="000000"/>
            <w:sz w:val="28"/>
            <w:szCs w:val="28"/>
            <w:bdr w:val="none" w:sz="0" w:space="0" w:color="auto" w:frame="1"/>
            <w:shd w:val="clear" w:color="auto" w:fill="FFFFFF"/>
          </w:rPr>
          <w:t>Класифікації доходу бюджету</w:t>
        </w:r>
      </w:hyperlink>
      <w:r>
        <w:rPr>
          <w:color w:val="000000"/>
          <w:sz w:val="28"/>
          <w:szCs w:val="28"/>
          <w:bdr w:val="none" w:sz="0" w:space="0" w:color="auto" w:frame="1"/>
          <w:shd w:val="clear" w:color="auto" w:fill="FFFFFF"/>
        </w:rPr>
        <w:t> / код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2 - найменування трансферту / найменування бюджету - надавача міжбюджетного трансферту;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3 (202_рік (звіт)) - показники відповідно до річного звіту за попередній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4 (202_рік (затверджено)) - показники, затверджені розписом на поточний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5-7 (</w:t>
      </w:r>
      <w:r>
        <w:rPr>
          <w:color w:val="1D1D1B"/>
          <w:sz w:val="28"/>
          <w:szCs w:val="28"/>
          <w:bdr w:val="none" w:sz="0" w:space="0" w:color="auto" w:frame="1"/>
        </w:rPr>
        <w:t xml:space="preserve">202_  - 202__ </w:t>
      </w:r>
      <w:proofErr w:type="spellStart"/>
      <w:r>
        <w:rPr>
          <w:color w:val="000000"/>
          <w:sz w:val="28"/>
          <w:szCs w:val="28"/>
          <w:bdr w:val="none" w:sz="0" w:space="0" w:color="auto" w:frame="1"/>
          <w:shd w:val="clear" w:color="auto" w:fill="FFFFFF"/>
        </w:rPr>
        <w:t>р.р</w:t>
      </w:r>
      <w:proofErr w:type="spellEnd"/>
      <w:r>
        <w:rPr>
          <w:color w:val="000000"/>
          <w:sz w:val="28"/>
          <w:szCs w:val="28"/>
          <w:bdr w:val="none" w:sz="0" w:space="0" w:color="auto" w:frame="1"/>
          <w:shd w:val="clear" w:color="auto" w:fill="FFFFFF"/>
        </w:rPr>
        <w:t>. (план)) - розподіл показників на середньостроковий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lastRenderedPageBreak/>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1 - код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2 - найменування трансферту / найменування бюджету - отримувача міжбюджетного трансферту;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3 (202_рік (звіт)) - показники відповідно до річного звіту за попередній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4 (202_рік (затверджено)) - показники, затверджені розписом на поточний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5-7 (</w:t>
      </w:r>
      <w:r>
        <w:rPr>
          <w:color w:val="1D1D1B"/>
          <w:sz w:val="28"/>
          <w:szCs w:val="28"/>
          <w:bdr w:val="none" w:sz="0" w:space="0" w:color="auto" w:frame="1"/>
        </w:rPr>
        <w:t xml:space="preserve">202_  - 202__ </w:t>
      </w:r>
      <w:proofErr w:type="spellStart"/>
      <w:r>
        <w:rPr>
          <w:color w:val="000000"/>
          <w:sz w:val="28"/>
          <w:szCs w:val="28"/>
          <w:bdr w:val="none" w:sz="0" w:space="0" w:color="auto" w:frame="1"/>
          <w:shd w:val="clear" w:color="auto" w:fill="FFFFFF"/>
        </w:rPr>
        <w:t>р.р</w:t>
      </w:r>
      <w:proofErr w:type="spellEnd"/>
      <w:r>
        <w:rPr>
          <w:color w:val="000000"/>
          <w:sz w:val="28"/>
          <w:szCs w:val="28"/>
          <w:bdr w:val="none" w:sz="0" w:space="0" w:color="auto" w:frame="1"/>
          <w:shd w:val="clear" w:color="auto" w:fill="FFFFFF"/>
        </w:rPr>
        <w:t>. (план)) - розподіл показників на середньостроковий бюджетний період.</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7366CC" w:rsidRDefault="007366CC" w:rsidP="007366CC">
      <w:pPr>
        <w:pStyle w:val="a3"/>
        <w:shd w:val="clear" w:color="auto" w:fill="FFFFFF"/>
        <w:spacing w:before="225" w:beforeAutospacing="0" w:after="225" w:afterAutospacing="0"/>
        <w:ind w:firstLine="709"/>
        <w:jc w:val="both"/>
        <w:rPr>
          <w:rFonts w:ascii="Arial" w:hAnsi="Arial" w:cs="Arial"/>
          <w:color w:val="1D1D1B"/>
          <w:sz w:val="26"/>
          <w:szCs w:val="26"/>
        </w:rPr>
      </w:pPr>
      <w:r>
        <w:rPr>
          <w:rFonts w:ascii="Arial" w:hAnsi="Arial" w:cs="Arial"/>
          <w:color w:val="1D1D1B"/>
          <w:sz w:val="26"/>
          <w:szCs w:val="26"/>
        </w:rPr>
        <w:t> </w:t>
      </w:r>
    </w:p>
    <w:p w:rsidR="007366CC" w:rsidRDefault="007366CC" w:rsidP="007366CC">
      <w:pPr>
        <w:pStyle w:val="a3"/>
        <w:shd w:val="clear" w:color="auto" w:fill="FFFFFF"/>
        <w:spacing w:before="0" w:beforeAutospacing="0" w:after="0" w:afterAutospacing="0"/>
        <w:ind w:right="450" w:firstLine="709"/>
        <w:jc w:val="center"/>
        <w:rPr>
          <w:rFonts w:ascii="Arial" w:hAnsi="Arial" w:cs="Arial"/>
          <w:color w:val="1D1D1B"/>
          <w:sz w:val="26"/>
          <w:szCs w:val="26"/>
        </w:rPr>
      </w:pPr>
      <w:r>
        <w:rPr>
          <w:b/>
          <w:bCs/>
          <w:color w:val="000000"/>
          <w:sz w:val="28"/>
          <w:szCs w:val="28"/>
          <w:bdr w:val="none" w:sz="0" w:space="0" w:color="auto" w:frame="1"/>
          <w:shd w:val="clear" w:color="auto" w:fill="FFFFFF"/>
        </w:rPr>
        <w:t>VІ.   Заповнення </w:t>
      </w:r>
      <w:hyperlink r:id="rId27" w:anchor="n341" w:history="1">
        <w:r>
          <w:rPr>
            <w:rStyle w:val="a4"/>
            <w:b/>
            <w:bCs/>
            <w:color w:val="000000"/>
            <w:sz w:val="28"/>
            <w:szCs w:val="28"/>
            <w:bdr w:val="none" w:sz="0" w:space="0" w:color="auto" w:frame="1"/>
            <w:shd w:val="clear" w:color="auto" w:fill="FFFFFF"/>
          </w:rPr>
          <w:t>Форми БП-3</w:t>
        </w:r>
      </w:hyperlink>
    </w:p>
    <w:p w:rsidR="007366CC" w:rsidRDefault="007366CC" w:rsidP="007366CC">
      <w:pPr>
        <w:pStyle w:val="a3"/>
        <w:shd w:val="clear" w:color="auto" w:fill="FFFFFF"/>
        <w:spacing w:before="0" w:beforeAutospacing="0" w:after="0" w:afterAutospacing="0"/>
        <w:ind w:right="450" w:firstLine="709"/>
        <w:jc w:val="center"/>
        <w:rPr>
          <w:rFonts w:ascii="Arial" w:hAnsi="Arial" w:cs="Arial"/>
          <w:color w:val="1D1D1B"/>
          <w:sz w:val="26"/>
          <w:szCs w:val="26"/>
        </w:rPr>
      </w:pPr>
      <w:r>
        <w:rPr>
          <w:rFonts w:ascii="Arial" w:hAnsi="Arial" w:cs="Arial"/>
          <w:color w:val="1D1D1B"/>
          <w:sz w:val="26"/>
          <w:szCs w:val="26"/>
          <w:bdr w:val="none" w:sz="0" w:space="0" w:color="auto" w:frame="1"/>
        </w:rPr>
        <w:t> </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1. Форма БП-3 використовується для представлення та обґрунтування пропозицій щодо додаткових коштів, необхідних для виконання нормативно-правових актів під час реалізації бюджетних програм, але не забезпечених орієнтовними граничними показниками, або для реалізації нових заходів державної політики, які сприятимуть покращенню показників досягнення цілей державної політики та/або наближенню їх досягнення у часі.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Форма БП-3 заповнюється лише після заповнення Форми БП-1 і Форми БП-2 у разі, якщо витрати, розраховані з огляду на пріоритетність та обґрунтованість потреб, перевищують орієнтовні граничні показники.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2. Фінансовий відділ розглядає пропозиції головного розпорядника щодо додаткових видатків та надання кредитів у межах ресурсних можливостей місцевого бюджету в середньостроковому періоді.</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3. У пункті 1 зазначаються найменування головного розпорядника коштів місцевого бюджету, код</w:t>
      </w:r>
      <w:r>
        <w:rPr>
          <w:color w:val="1D1D1B"/>
          <w:bdr w:val="none" w:sz="0" w:space="0" w:color="auto" w:frame="1"/>
          <w:shd w:val="clear" w:color="auto" w:fill="FFFFFF"/>
        </w:rPr>
        <w:t> </w:t>
      </w:r>
      <w:hyperlink r:id="rId28" w:anchor="n68" w:history="1">
        <w:r>
          <w:rPr>
            <w:rStyle w:val="a4"/>
            <w:color w:val="000000"/>
            <w:sz w:val="28"/>
            <w:szCs w:val="28"/>
            <w:bdr w:val="none" w:sz="0" w:space="0" w:color="auto" w:frame="1"/>
            <w:shd w:val="clear" w:color="auto" w:fill="FFFFFF"/>
          </w:rPr>
          <w:t>Типової відомчої класифікації видатків та кредитування місцевого бюджету</w:t>
        </w:r>
      </w:hyperlink>
      <w:r>
        <w:rPr>
          <w:color w:val="000000"/>
          <w:sz w:val="28"/>
          <w:szCs w:val="28"/>
          <w:bdr w:val="none" w:sz="0" w:space="0" w:color="auto" w:frame="1"/>
          <w:shd w:val="clear" w:color="auto" w:fill="FFFFFF"/>
        </w:rPr>
        <w:t>, код за ЄДРПОУ, а також код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4. 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5. У пункті 3 наводяться обсяги додаткових коштів загального та спеціального фондів за бюджетними програмами у розрізі</w:t>
      </w:r>
      <w:r>
        <w:rPr>
          <w:color w:val="1D1D1B"/>
          <w:bdr w:val="none" w:sz="0" w:space="0" w:color="auto" w:frame="1"/>
          <w:shd w:val="clear" w:color="auto" w:fill="FFFFFF"/>
        </w:rPr>
        <w:t> </w:t>
      </w:r>
      <w:hyperlink r:id="rId29" w:anchor="n35" w:history="1">
        <w:r>
          <w:rPr>
            <w:rStyle w:val="a4"/>
            <w:color w:val="000000"/>
            <w:sz w:val="28"/>
            <w:szCs w:val="28"/>
            <w:bdr w:val="none" w:sz="0" w:space="0" w:color="auto" w:frame="1"/>
            <w:shd w:val="clear" w:color="auto" w:fill="FFFFFF"/>
          </w:rPr>
          <w:t>Економічної класифікації видатків бюджету</w:t>
        </w:r>
      </w:hyperlink>
      <w:r>
        <w:rPr>
          <w:color w:val="1D1D1B"/>
          <w:bdr w:val="none" w:sz="0" w:space="0" w:color="auto" w:frame="1"/>
          <w:shd w:val="clear" w:color="auto" w:fill="FFFFFF"/>
        </w:rPr>
        <w:t> </w:t>
      </w:r>
      <w:r>
        <w:rPr>
          <w:color w:val="000000"/>
          <w:sz w:val="28"/>
          <w:szCs w:val="28"/>
          <w:bdr w:val="none" w:sz="0" w:space="0" w:color="auto" w:frame="1"/>
          <w:shd w:val="clear" w:color="auto" w:fill="FFFFFF"/>
        </w:rPr>
        <w:t>або</w:t>
      </w:r>
      <w:r>
        <w:rPr>
          <w:color w:val="1D1D1B"/>
          <w:bdr w:val="none" w:sz="0" w:space="0" w:color="auto" w:frame="1"/>
          <w:shd w:val="clear" w:color="auto" w:fill="FFFFFF"/>
        </w:rPr>
        <w:t> </w:t>
      </w:r>
      <w:hyperlink r:id="rId30" w:anchor="n40" w:history="1">
        <w:r>
          <w:rPr>
            <w:rStyle w:val="a4"/>
            <w:color w:val="000000"/>
            <w:sz w:val="28"/>
            <w:szCs w:val="28"/>
            <w:bdr w:val="none" w:sz="0" w:space="0" w:color="auto" w:frame="1"/>
            <w:shd w:val="clear" w:color="auto" w:fill="FFFFFF"/>
          </w:rPr>
          <w:t>Класифікації кредитування бюджету</w:t>
        </w:r>
      </w:hyperlink>
      <w:r>
        <w:rPr>
          <w:color w:val="000000"/>
          <w:sz w:val="28"/>
          <w:szCs w:val="28"/>
          <w:bdr w:val="none" w:sz="0" w:space="0" w:color="auto" w:frame="1"/>
          <w:shd w:val="clear" w:color="auto" w:fill="FFFFFF"/>
        </w:rPr>
        <w:t xml:space="preserve">, підстави та обґрунтування пропозицій щодо додаткових коштів загального та </w:t>
      </w:r>
      <w:r>
        <w:rPr>
          <w:color w:val="000000"/>
          <w:sz w:val="28"/>
          <w:szCs w:val="28"/>
          <w:bdr w:val="none" w:sz="0" w:space="0" w:color="auto" w:frame="1"/>
          <w:shd w:val="clear" w:color="auto" w:fill="FFFFFF"/>
        </w:rPr>
        <w:lastRenderedPageBreak/>
        <w:t>спеціального фондів, у яких зазначається нормативно-правовий акт, виконання якого не забезпечено орієнтовними граничними показниками.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1-3 зазначаються коди Програмної класифікації видатків та кредитування місцевого бюджету/</w:t>
      </w:r>
      <w:r>
        <w:rPr>
          <w:color w:val="1D1D1B"/>
          <w:bdr w:val="none" w:sz="0" w:space="0" w:color="auto" w:frame="1"/>
          <w:shd w:val="clear" w:color="auto" w:fill="FFFFFF"/>
        </w:rPr>
        <w:t> </w:t>
      </w:r>
      <w:hyperlink r:id="rId31" w:anchor="n35" w:history="1">
        <w:r>
          <w:rPr>
            <w:rStyle w:val="a4"/>
            <w:color w:val="000000"/>
            <w:sz w:val="28"/>
            <w:szCs w:val="28"/>
            <w:bdr w:val="none" w:sz="0" w:space="0" w:color="auto" w:frame="1"/>
            <w:shd w:val="clear" w:color="auto" w:fill="FFFFFF"/>
          </w:rPr>
          <w:t>Економічної класифікації видатків бюджету</w:t>
        </w:r>
      </w:hyperlink>
      <w:r>
        <w:rPr>
          <w:color w:val="1D1D1B"/>
          <w:bdr w:val="none" w:sz="0" w:space="0" w:color="auto" w:frame="1"/>
          <w:shd w:val="clear" w:color="auto" w:fill="FFFFFF"/>
        </w:rPr>
        <w:t> </w:t>
      </w:r>
      <w:r>
        <w:rPr>
          <w:color w:val="000000"/>
          <w:sz w:val="28"/>
          <w:szCs w:val="28"/>
          <w:bdr w:val="none" w:sz="0" w:space="0" w:color="auto" w:frame="1"/>
          <w:shd w:val="clear" w:color="auto" w:fill="FFFFFF"/>
        </w:rPr>
        <w:t>/</w:t>
      </w:r>
      <w:r>
        <w:rPr>
          <w:color w:val="1D1D1B"/>
          <w:bdr w:val="none" w:sz="0" w:space="0" w:color="auto" w:frame="1"/>
          <w:shd w:val="clear" w:color="auto" w:fill="FFFFFF"/>
        </w:rPr>
        <w:t> </w:t>
      </w:r>
      <w:hyperlink r:id="rId32" w:anchor="n40" w:history="1">
        <w:r>
          <w:rPr>
            <w:rStyle w:val="a4"/>
            <w:color w:val="000000"/>
            <w:sz w:val="28"/>
            <w:szCs w:val="28"/>
            <w:bdr w:val="none" w:sz="0" w:space="0" w:color="auto" w:frame="1"/>
            <w:shd w:val="clear" w:color="auto" w:fill="FFFFFF"/>
          </w:rPr>
          <w:t>Класифікації кредитування бюджету</w:t>
        </w:r>
      </w:hyperlink>
      <w:r>
        <w:rPr>
          <w:color w:val="000000"/>
          <w:sz w:val="28"/>
          <w:szCs w:val="28"/>
          <w:bdr w:val="none" w:sz="0" w:space="0" w:color="auto" w:frame="1"/>
          <w:shd w:val="clear" w:color="auto" w:fill="FFFFFF"/>
        </w:rPr>
        <w:t>,</w:t>
      </w:r>
      <w:r>
        <w:rPr>
          <w:color w:val="1D1D1B"/>
          <w:bdr w:val="none" w:sz="0" w:space="0" w:color="auto" w:frame="1"/>
          <w:shd w:val="clear" w:color="auto" w:fill="FFFFFF"/>
        </w:rPr>
        <w:t> </w:t>
      </w:r>
      <w:hyperlink r:id="rId33" w:anchor="n73" w:history="1">
        <w:r>
          <w:rPr>
            <w:rStyle w:val="a4"/>
            <w:color w:val="000000"/>
            <w:sz w:val="28"/>
            <w:szCs w:val="28"/>
            <w:bdr w:val="none" w:sz="0" w:space="0" w:color="auto" w:frame="1"/>
            <w:shd w:val="clear" w:color="auto" w:fill="FFFFFF"/>
          </w:rPr>
          <w:t>Типової програмної класифікації видатків та кредитування місцевого бюджету</w:t>
        </w:r>
      </w:hyperlink>
      <w:r>
        <w:rPr>
          <w:color w:val="1D1D1B"/>
          <w:bdr w:val="none" w:sz="0" w:space="0" w:color="auto" w:frame="1"/>
          <w:shd w:val="clear" w:color="auto" w:fill="FFFFFF"/>
        </w:rPr>
        <w:t> </w:t>
      </w:r>
      <w:r>
        <w:rPr>
          <w:color w:val="000000"/>
          <w:sz w:val="28"/>
          <w:szCs w:val="28"/>
          <w:bdr w:val="none" w:sz="0" w:space="0" w:color="auto" w:frame="1"/>
          <w:shd w:val="clear" w:color="auto" w:fill="FFFFFF"/>
        </w:rPr>
        <w:t>та Функціональної класифікації видатків бюджету, а також найменування бюджетної програми;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графі 4 - найменування бюджетної програми;</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5, 7, 9 (</w:t>
      </w:r>
      <w:r>
        <w:rPr>
          <w:color w:val="1D1D1B"/>
          <w:bdr w:val="none" w:sz="0" w:space="0" w:color="auto" w:frame="1"/>
          <w:shd w:val="clear" w:color="auto" w:fill="FFFFFF"/>
        </w:rPr>
        <w:t> </w:t>
      </w:r>
      <w:r>
        <w:rPr>
          <w:color w:val="1D1D1B"/>
          <w:sz w:val="28"/>
          <w:szCs w:val="28"/>
          <w:bdr w:val="none" w:sz="0" w:space="0" w:color="auto" w:frame="1"/>
        </w:rPr>
        <w:t>202_  - 202__</w:t>
      </w:r>
      <w:r>
        <w:rPr>
          <w:color w:val="000000"/>
          <w:sz w:val="28"/>
          <w:szCs w:val="28"/>
          <w:bdr w:val="none" w:sz="0" w:space="0" w:color="auto" w:frame="1"/>
          <w:shd w:val="clear" w:color="auto" w:fill="FFFFFF"/>
        </w:rPr>
        <w:t>.р. (план)) - обсяг коштів у межах орієнтовного граничного показника;</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6, 8, 10 (</w:t>
      </w:r>
      <w:r>
        <w:rPr>
          <w:color w:val="1D1D1B"/>
          <w:bdr w:val="none" w:sz="0" w:space="0" w:color="auto" w:frame="1"/>
          <w:shd w:val="clear" w:color="auto" w:fill="FFFFFF"/>
        </w:rPr>
        <w:t> </w:t>
      </w:r>
      <w:r>
        <w:rPr>
          <w:color w:val="1D1D1B"/>
          <w:sz w:val="28"/>
          <w:szCs w:val="28"/>
          <w:bdr w:val="none" w:sz="0" w:space="0" w:color="auto" w:frame="1"/>
        </w:rPr>
        <w:t xml:space="preserve">202_  - 202__ </w:t>
      </w:r>
      <w:proofErr w:type="spellStart"/>
      <w:r>
        <w:rPr>
          <w:color w:val="000000"/>
          <w:sz w:val="28"/>
          <w:szCs w:val="28"/>
          <w:bdr w:val="none" w:sz="0" w:space="0" w:color="auto" w:frame="1"/>
          <w:shd w:val="clear" w:color="auto" w:fill="FFFFFF"/>
        </w:rPr>
        <w:t>р.р</w:t>
      </w:r>
      <w:proofErr w:type="spellEnd"/>
      <w:r>
        <w:rPr>
          <w:color w:val="000000"/>
          <w:sz w:val="28"/>
          <w:szCs w:val="28"/>
          <w:bdr w:val="none" w:sz="0" w:space="0" w:color="auto" w:frame="1"/>
          <w:shd w:val="clear" w:color="auto" w:fill="FFFFFF"/>
        </w:rPr>
        <w:t>. (план)) - пропозиції щодо додаткового обсягу коштів.</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Обсяг коштів за усіма бюджетними програмами наводиться у розрізі кодів </w:t>
      </w:r>
      <w:hyperlink r:id="rId34" w:anchor="n35" w:history="1">
        <w:r>
          <w:rPr>
            <w:rStyle w:val="a4"/>
            <w:color w:val="000000"/>
            <w:sz w:val="28"/>
            <w:szCs w:val="28"/>
            <w:bdr w:val="none" w:sz="0" w:space="0" w:color="auto" w:frame="1"/>
            <w:shd w:val="clear" w:color="auto" w:fill="FFFFFF"/>
          </w:rPr>
          <w:t>Економічної класифікації видатків бюджету</w:t>
        </w:r>
      </w:hyperlink>
      <w:r>
        <w:rPr>
          <w:color w:val="000000"/>
          <w:sz w:val="28"/>
          <w:szCs w:val="28"/>
          <w:bdr w:val="none" w:sz="0" w:space="0" w:color="auto" w:frame="1"/>
          <w:shd w:val="clear" w:color="auto" w:fill="FFFFFF"/>
        </w:rPr>
        <w:t> (2110, 2120, 2210, 2220, 2230, 2240, 2250, 2260, 2270, 2281, 2282, 2400, 2610, 2620, 2630, 2700, 2800, 3110, 3120, 3130, 3140, 3150, 3160, 3210, 3220, 3230, 3240) та Класифікації кредитування бюджету.</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рядку «УСЬОГО за бюджетними програмами, у тому числі:» у графах 5-10 зазначається загальний обсяг коштів за усіма бюджетними програмами у розрізі кодів Економічної класифікації видатків бюджету та </w:t>
      </w:r>
      <w:hyperlink r:id="rId35" w:anchor="n40" w:history="1">
        <w:r>
          <w:rPr>
            <w:rStyle w:val="a4"/>
            <w:color w:val="000000"/>
            <w:sz w:val="28"/>
            <w:szCs w:val="28"/>
            <w:bdr w:val="none" w:sz="0" w:space="0" w:color="auto" w:frame="1"/>
            <w:shd w:val="clear" w:color="auto" w:fill="FFFFFF"/>
          </w:rPr>
          <w:t>Класифікації кредитування бюджету</w:t>
        </w:r>
      </w:hyperlink>
      <w:r>
        <w:rPr>
          <w:color w:val="000000"/>
          <w:sz w:val="28"/>
          <w:szCs w:val="28"/>
          <w:bdr w:val="none" w:sz="0" w:space="0" w:color="auto" w:frame="1"/>
          <w:shd w:val="clear" w:color="auto" w:fill="FFFFFF"/>
        </w:rPr>
        <w:t>.</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r>
        <w:rPr>
          <w:color w:val="000000"/>
          <w:sz w:val="28"/>
          <w:szCs w:val="28"/>
          <w:bdr w:val="none" w:sz="0" w:space="0" w:color="auto" w:frame="1"/>
          <w:shd w:val="clear" w:color="auto" w:fill="FFFFFF"/>
        </w:rPr>
        <w:t>6. 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орієнтовних граничних показниках.</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1-3 зазначаються номер, найменування цілей державної політики, показники досягнення цілей, а також одиниця виміру показника досягнення цілей;</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4, 6, 8 (</w:t>
      </w:r>
      <w:r>
        <w:rPr>
          <w:color w:val="1D1D1B"/>
          <w:sz w:val="28"/>
          <w:szCs w:val="28"/>
          <w:bdr w:val="none" w:sz="0" w:space="0" w:color="auto" w:frame="1"/>
        </w:rPr>
        <w:t xml:space="preserve">202_  - 202__ </w:t>
      </w:r>
      <w:proofErr w:type="spellStart"/>
      <w:r>
        <w:rPr>
          <w:color w:val="000000"/>
          <w:sz w:val="28"/>
          <w:szCs w:val="28"/>
          <w:bdr w:val="none" w:sz="0" w:space="0" w:color="auto" w:frame="1"/>
          <w:shd w:val="clear" w:color="auto" w:fill="FFFFFF"/>
        </w:rPr>
        <w:t>р.р</w:t>
      </w:r>
      <w:proofErr w:type="spellEnd"/>
      <w:r>
        <w:rPr>
          <w:color w:val="000000"/>
          <w:sz w:val="28"/>
          <w:szCs w:val="28"/>
          <w:bdr w:val="none" w:sz="0" w:space="0" w:color="auto" w:frame="1"/>
          <w:shd w:val="clear" w:color="auto" w:fill="FFFFFF"/>
        </w:rPr>
        <w:t>. (план)) - показники в межах орієнтовного граничного показника. Показники досягнення цілей, зазначені у Формі БП-3, повинні відповідати показникам, включеним до граф 4-6 пункту 2 Форми БП-1;</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color w:val="000000"/>
          <w:sz w:val="28"/>
          <w:szCs w:val="28"/>
          <w:bdr w:val="none" w:sz="0" w:space="0" w:color="auto" w:frame="1"/>
          <w:shd w:val="clear" w:color="auto" w:fill="FFFFFF"/>
        </w:rPr>
        <w:t>у графах 5, 7, 9 (</w:t>
      </w:r>
      <w:r>
        <w:rPr>
          <w:color w:val="1D1D1B"/>
          <w:sz w:val="28"/>
          <w:szCs w:val="28"/>
          <w:bdr w:val="none" w:sz="0" w:space="0" w:color="auto" w:frame="1"/>
        </w:rPr>
        <w:t xml:space="preserve">202_  - 202__ </w:t>
      </w:r>
      <w:proofErr w:type="spellStart"/>
      <w:r>
        <w:rPr>
          <w:color w:val="000000"/>
          <w:sz w:val="28"/>
          <w:szCs w:val="28"/>
          <w:bdr w:val="none" w:sz="0" w:space="0" w:color="auto" w:frame="1"/>
          <w:shd w:val="clear" w:color="auto" w:fill="FFFFFF"/>
        </w:rPr>
        <w:t>р.р</w:t>
      </w:r>
      <w:proofErr w:type="spellEnd"/>
      <w:r>
        <w:rPr>
          <w:color w:val="000000"/>
          <w:sz w:val="28"/>
          <w:szCs w:val="28"/>
          <w:bdr w:val="none" w:sz="0" w:space="0" w:color="auto" w:frame="1"/>
          <w:shd w:val="clear" w:color="auto" w:fill="FFFFFF"/>
        </w:rPr>
        <w:t>. (план))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місцевого бюджету та надання кредитів з місцевого бюджету, який визначається у прогнозі місцевого бюджету відповідному головному розпоряднику.</w:t>
      </w:r>
    </w:p>
    <w:p w:rsidR="007366CC" w:rsidRDefault="007366CC" w:rsidP="007366CC">
      <w:pPr>
        <w:pStyle w:val="a3"/>
        <w:shd w:val="clear" w:color="auto" w:fill="FFFFFF"/>
        <w:spacing w:before="225" w:beforeAutospacing="0" w:after="225" w:afterAutospacing="0"/>
        <w:ind w:firstLine="709"/>
        <w:jc w:val="both"/>
        <w:rPr>
          <w:rFonts w:ascii="Arial" w:hAnsi="Arial" w:cs="Arial"/>
          <w:color w:val="1D1D1B"/>
          <w:sz w:val="26"/>
          <w:szCs w:val="26"/>
        </w:rPr>
      </w:pPr>
      <w:r>
        <w:rPr>
          <w:rFonts w:ascii="Arial" w:hAnsi="Arial" w:cs="Arial"/>
          <w:color w:val="1D1D1B"/>
          <w:sz w:val="26"/>
          <w:szCs w:val="26"/>
        </w:rPr>
        <w:t> </w:t>
      </w:r>
    </w:p>
    <w:p w:rsidR="007366CC" w:rsidRDefault="007366CC" w:rsidP="007366CC">
      <w:pPr>
        <w:pStyle w:val="a3"/>
        <w:shd w:val="clear" w:color="auto" w:fill="FFFFFF"/>
        <w:spacing w:before="0" w:beforeAutospacing="0" w:after="0" w:afterAutospacing="0"/>
        <w:ind w:firstLine="709"/>
        <w:jc w:val="both"/>
        <w:rPr>
          <w:rFonts w:ascii="Arial" w:hAnsi="Arial" w:cs="Arial"/>
          <w:color w:val="1D1D1B"/>
          <w:sz w:val="26"/>
          <w:szCs w:val="26"/>
        </w:rPr>
      </w:pPr>
      <w:r>
        <w:rPr>
          <w:rFonts w:ascii="Arial" w:hAnsi="Arial" w:cs="Arial"/>
          <w:color w:val="1D1D1B"/>
          <w:sz w:val="26"/>
          <w:szCs w:val="26"/>
          <w:bdr w:val="none" w:sz="0" w:space="0" w:color="auto" w:frame="1"/>
        </w:rPr>
        <w:t> </w:t>
      </w:r>
    </w:p>
    <w:p w:rsidR="007366CC" w:rsidRDefault="007366CC" w:rsidP="007366C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Начальник фінансового  відділу                                                    Ірина ІЛЛЮК</w:t>
      </w:r>
    </w:p>
    <w:p w:rsidR="007366CC" w:rsidRDefault="007366CC" w:rsidP="007366CC">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w:t>
      </w:r>
    </w:p>
    <w:p w:rsidR="00D52754" w:rsidRDefault="00D52754" w:rsidP="00FA42A6">
      <w:pPr>
        <w:pStyle w:val="rvps2"/>
        <w:shd w:val="clear" w:color="auto" w:fill="FFFFFF"/>
        <w:spacing w:before="0" w:beforeAutospacing="0" w:after="0" w:afterAutospacing="0"/>
        <w:ind w:firstLine="567"/>
        <w:jc w:val="both"/>
        <w:rPr>
          <w:color w:val="000000"/>
          <w:sz w:val="28"/>
          <w:szCs w:val="28"/>
          <w:bdr w:val="none" w:sz="0" w:space="0" w:color="auto" w:frame="1"/>
          <w:shd w:val="clear" w:color="auto" w:fill="FFFFFF"/>
          <w:lang w:eastAsia="uk-UA"/>
        </w:rPr>
      </w:pPr>
      <w:bookmarkStart w:id="1" w:name="_GoBack"/>
      <w:bookmarkEnd w:id="1"/>
    </w:p>
    <w:sectPr w:rsidR="00D52754" w:rsidSect="0016411D">
      <w:headerReference w:type="first" r:id="rId3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3E8A" w:rsidRDefault="00993E8A">
      <w:pPr>
        <w:spacing w:after="0" w:line="240" w:lineRule="auto"/>
      </w:pPr>
      <w:r>
        <w:separator/>
      </w:r>
    </w:p>
  </w:endnote>
  <w:endnote w:type="continuationSeparator" w:id="0">
    <w:p w:rsidR="00993E8A" w:rsidRDefault="0099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3E8A" w:rsidRDefault="00993E8A">
      <w:pPr>
        <w:spacing w:after="0" w:line="240" w:lineRule="auto"/>
      </w:pPr>
      <w:r>
        <w:separator/>
      </w:r>
    </w:p>
  </w:footnote>
  <w:footnote w:type="continuationSeparator" w:id="0">
    <w:p w:rsidR="00993E8A" w:rsidRDefault="00993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42A6" w:rsidRPr="003A721E" w:rsidRDefault="00FA42A6" w:rsidP="000762DD">
    <w:pPr>
      <w:pStyle w:val="a5"/>
      <w:jc w:val="center"/>
      <w:rPr>
        <w:sz w:val="24"/>
        <w:szCs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26A59"/>
    <w:multiLevelType w:val="hybridMultilevel"/>
    <w:tmpl w:val="EB826D14"/>
    <w:lvl w:ilvl="0" w:tplc="F63E44BE">
      <w:start w:val="1"/>
      <w:numFmt w:val="decimal"/>
      <w:lvlText w:val="%1."/>
      <w:lvlJc w:val="left"/>
      <w:pPr>
        <w:ind w:left="928" w:hanging="360"/>
      </w:pPr>
      <w:rPr>
        <w:rFonts w:hint="default"/>
        <w:color w:val="auto"/>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D1"/>
    <w:rsid w:val="00030A51"/>
    <w:rsid w:val="000455BA"/>
    <w:rsid w:val="00080407"/>
    <w:rsid w:val="00085A70"/>
    <w:rsid w:val="0009287B"/>
    <w:rsid w:val="000A4867"/>
    <w:rsid w:val="0016411D"/>
    <w:rsid w:val="00191B7A"/>
    <w:rsid w:val="002258D7"/>
    <w:rsid w:val="002C0057"/>
    <w:rsid w:val="00376C03"/>
    <w:rsid w:val="003B7D0A"/>
    <w:rsid w:val="004B0E71"/>
    <w:rsid w:val="004C5607"/>
    <w:rsid w:val="005417D1"/>
    <w:rsid w:val="00576726"/>
    <w:rsid w:val="00586645"/>
    <w:rsid w:val="005A3B68"/>
    <w:rsid w:val="005C71A1"/>
    <w:rsid w:val="007366CC"/>
    <w:rsid w:val="008E3038"/>
    <w:rsid w:val="008F44A6"/>
    <w:rsid w:val="00993E8A"/>
    <w:rsid w:val="009B7C45"/>
    <w:rsid w:val="009C0554"/>
    <w:rsid w:val="00A04D20"/>
    <w:rsid w:val="00A25BDD"/>
    <w:rsid w:val="00A34CA8"/>
    <w:rsid w:val="00A91D2E"/>
    <w:rsid w:val="00A92F47"/>
    <w:rsid w:val="00B97A6E"/>
    <w:rsid w:val="00C20977"/>
    <w:rsid w:val="00C4637C"/>
    <w:rsid w:val="00C606C0"/>
    <w:rsid w:val="00CA6CFE"/>
    <w:rsid w:val="00CD18B9"/>
    <w:rsid w:val="00D20656"/>
    <w:rsid w:val="00D52754"/>
    <w:rsid w:val="00E253AD"/>
    <w:rsid w:val="00F23C1D"/>
    <w:rsid w:val="00FA42A6"/>
    <w:rsid w:val="00FB7D2E"/>
    <w:rsid w:val="00FD51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04D7D"/>
  <w15:chartTrackingRefBased/>
  <w15:docId w15:val="{BE877989-E875-4C66-86EB-D308BE05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5417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417D1"/>
    <w:rPr>
      <w:color w:val="0000FF"/>
      <w:u w:val="single"/>
    </w:rPr>
  </w:style>
  <w:style w:type="paragraph" w:customStyle="1" w:styleId="rvps6">
    <w:name w:val="rvps6"/>
    <w:basedOn w:val="a"/>
    <w:rsid w:val="00FA42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FA42A6"/>
  </w:style>
  <w:style w:type="paragraph" w:customStyle="1" w:styleId="rvps7">
    <w:name w:val="rvps7"/>
    <w:basedOn w:val="a"/>
    <w:rsid w:val="00FA42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FA42A6"/>
  </w:style>
  <w:style w:type="paragraph" w:customStyle="1" w:styleId="rvps2">
    <w:name w:val="rvps2"/>
    <w:basedOn w:val="a"/>
    <w:qFormat/>
    <w:rsid w:val="00FA42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FA42A6"/>
    <w:pPr>
      <w:tabs>
        <w:tab w:val="center" w:pos="4819"/>
        <w:tab w:val="right" w:pos="9639"/>
      </w:tabs>
      <w:spacing w:after="0" w:line="240" w:lineRule="auto"/>
    </w:pPr>
    <w:rPr>
      <w:rFonts w:ascii="Times New Roman" w:eastAsia="Calibri" w:hAnsi="Times New Roman" w:cs="Times New Roman"/>
      <w:sz w:val="28"/>
      <w:szCs w:val="28"/>
      <w:lang w:val="ru-RU"/>
    </w:rPr>
  </w:style>
  <w:style w:type="character" w:customStyle="1" w:styleId="a6">
    <w:name w:val="Верхній колонтитул Знак"/>
    <w:basedOn w:val="a0"/>
    <w:link w:val="a5"/>
    <w:uiPriority w:val="99"/>
    <w:rsid w:val="00FA42A6"/>
    <w:rPr>
      <w:rFonts w:ascii="Times New Roman" w:eastAsia="Calibri" w:hAnsi="Times New Roman" w:cs="Times New Roman"/>
      <w:sz w:val="28"/>
      <w:szCs w:val="28"/>
      <w:lang w:val="ru-RU"/>
    </w:rPr>
  </w:style>
  <w:style w:type="paragraph" w:styleId="a7">
    <w:name w:val="footer"/>
    <w:basedOn w:val="a"/>
    <w:link w:val="a8"/>
    <w:uiPriority w:val="99"/>
    <w:unhideWhenUsed/>
    <w:rsid w:val="00FA42A6"/>
    <w:pPr>
      <w:tabs>
        <w:tab w:val="center" w:pos="4819"/>
        <w:tab w:val="right" w:pos="9639"/>
      </w:tabs>
      <w:spacing w:after="0" w:line="240" w:lineRule="auto"/>
    </w:pPr>
    <w:rPr>
      <w:rFonts w:ascii="Times New Roman" w:eastAsia="Calibri" w:hAnsi="Times New Roman" w:cs="Times New Roman"/>
      <w:sz w:val="28"/>
      <w:szCs w:val="28"/>
      <w:lang w:val="ru-RU"/>
    </w:rPr>
  </w:style>
  <w:style w:type="character" w:customStyle="1" w:styleId="a8">
    <w:name w:val="Нижній колонтитул Знак"/>
    <w:basedOn w:val="a0"/>
    <w:link w:val="a7"/>
    <w:uiPriority w:val="99"/>
    <w:rsid w:val="00FA42A6"/>
    <w:rPr>
      <w:rFonts w:ascii="Times New Roman" w:eastAsia="Calibri" w:hAnsi="Times New Roman" w:cs="Times New Roman"/>
      <w:sz w:val="28"/>
      <w:szCs w:val="28"/>
      <w:lang w:val="ru-RU"/>
    </w:rPr>
  </w:style>
  <w:style w:type="paragraph" w:styleId="a9">
    <w:name w:val="List Paragraph"/>
    <w:basedOn w:val="a"/>
    <w:uiPriority w:val="34"/>
    <w:qFormat/>
    <w:rsid w:val="00FA42A6"/>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0455B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0455BA"/>
    <w:rPr>
      <w:rFonts w:ascii="Segoe UI" w:hAnsi="Segoe UI" w:cs="Segoe UI"/>
      <w:sz w:val="18"/>
      <w:szCs w:val="18"/>
    </w:rPr>
  </w:style>
  <w:style w:type="paragraph" w:styleId="ac">
    <w:name w:val="No Spacing"/>
    <w:uiPriority w:val="1"/>
    <w:qFormat/>
    <w:rsid w:val="00164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2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z1842-23" TargetMode="External"/><Relationship Id="rId18" Type="http://schemas.openxmlformats.org/officeDocument/2006/relationships/hyperlink" Target="https://zakon.rada.gov.ua/laws/show/v0793201-17" TargetMode="External"/><Relationship Id="rId26" Type="http://schemas.openxmlformats.org/officeDocument/2006/relationships/hyperlink" Target="https://zakon.rada.gov.ua/laws/show/v0011201-11" TargetMode="External"/><Relationship Id="rId3" Type="http://schemas.openxmlformats.org/officeDocument/2006/relationships/styles" Target="styles.xml"/><Relationship Id="rId21" Type="http://schemas.openxmlformats.org/officeDocument/2006/relationships/hyperlink" Target="https://zakon.rada.gov.ua/laws/show/2456-17" TargetMode="External"/><Relationship Id="rId34" Type="http://schemas.openxmlformats.org/officeDocument/2006/relationships/hyperlink" Target="https://zakon.rada.gov.ua/laws/show/v0011201-11" TargetMode="External"/><Relationship Id="rId7" Type="http://schemas.openxmlformats.org/officeDocument/2006/relationships/endnotes" Target="endnotes.xm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z1103-14" TargetMode="External"/><Relationship Id="rId25" Type="http://schemas.openxmlformats.org/officeDocument/2006/relationships/hyperlink" Target="https://zakon.rada.gov.ua/laws/show/v0011201-11" TargetMode="External"/><Relationship Id="rId33" Type="http://schemas.openxmlformats.org/officeDocument/2006/relationships/hyperlink" Target="https://zakon.rada.gov.ua/laws/show/v0793201-1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z1057-12" TargetMode="External"/><Relationship Id="rId20" Type="http://schemas.openxmlformats.org/officeDocument/2006/relationships/hyperlink" Target="https://zakon.rada.gov.ua/laws/show/2456-17" TargetMode="External"/><Relationship Id="rId29" Type="http://schemas.openxmlformats.org/officeDocument/2006/relationships/hyperlink" Target="https://zakon.rada.gov.ua/laws/show/v001120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011201-11" TargetMode="External"/><Relationship Id="rId24" Type="http://schemas.openxmlformats.org/officeDocument/2006/relationships/hyperlink" Target="https://zakon.rada.gov.ua/laws/show/v0011201-11" TargetMode="External"/><Relationship Id="rId32" Type="http://schemas.openxmlformats.org/officeDocument/2006/relationships/hyperlink" Target="https://zakon.rada.gov.ua/laws/show/v0011201-1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v0793201-17" TargetMode="External"/><Relationship Id="rId23" Type="http://schemas.openxmlformats.org/officeDocument/2006/relationships/hyperlink" Target="https://zakon.rada.gov.ua/laws/show/v0011201-11" TargetMode="External"/><Relationship Id="rId28" Type="http://schemas.openxmlformats.org/officeDocument/2006/relationships/hyperlink" Target="https://zakon.rada.gov.ua/laws/show/v0793201-17" TargetMode="External"/><Relationship Id="rId36" Type="http://schemas.openxmlformats.org/officeDocument/2006/relationships/header" Target="header1.xml"/><Relationship Id="rId10" Type="http://schemas.openxmlformats.org/officeDocument/2006/relationships/hyperlink" Target="https://zakon.rada.gov.ua/laws/show/2456-17" TargetMode="External"/><Relationship Id="rId19" Type="http://schemas.openxmlformats.org/officeDocument/2006/relationships/hyperlink" Target="https://zakon.rada.gov.ua/laws/show/v0793201-17" TargetMode="External"/><Relationship Id="rId31" Type="http://schemas.openxmlformats.org/officeDocument/2006/relationships/hyperlink" Target="https://zakon.rada.gov.ua/laws/show/v0011201-1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z1057-12" TargetMode="External"/><Relationship Id="rId22" Type="http://schemas.openxmlformats.org/officeDocument/2006/relationships/hyperlink" Target="https://zakon.rada.gov.ua/laws/show/v0011201-11" TargetMode="External"/><Relationship Id="rId27" Type="http://schemas.openxmlformats.org/officeDocument/2006/relationships/hyperlink" Target="https://zakon.rada.gov.ua/laws/show/z1057-12/print" TargetMode="External"/><Relationship Id="rId30" Type="http://schemas.openxmlformats.org/officeDocument/2006/relationships/hyperlink" Target="https://zakon.rada.gov.ua/laws/show/v0011201-11" TargetMode="External"/><Relationship Id="rId35" Type="http://schemas.openxmlformats.org/officeDocument/2006/relationships/hyperlink" Target="https://zakon.rada.gov.ua/laws/show/v0011201-1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DA24-0B64-4A36-AAC3-C3CE46F1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24643</Words>
  <Characters>14048</Characters>
  <Application>Microsoft Office Word</Application>
  <DocSecurity>0</DocSecurity>
  <Lines>117</Lines>
  <Paragraphs>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Сергій Шеремета</cp:lastModifiedBy>
  <cp:revision>13</cp:revision>
  <cp:lastPrinted>2025-07-23T12:56:00Z</cp:lastPrinted>
  <dcterms:created xsi:type="dcterms:W3CDTF">2025-07-23T12:18:00Z</dcterms:created>
  <dcterms:modified xsi:type="dcterms:W3CDTF">2025-07-23T13:19:00Z</dcterms:modified>
</cp:coreProperties>
</file>