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17671534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77777777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4FB64EE" w14:textId="77777777" w:rsidR="00127928" w:rsidRPr="007A707B" w:rsidRDefault="00127928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1F519252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127928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127928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32CCAAF3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Володимирі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вни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6796350"/>
      <w:bookmarkStart w:id="2" w:name="_Hlk129784303"/>
      <w:bookmarkStart w:id="3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183D04FD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28668816"/>
      <w:proofErr w:type="spellStart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Володимирівні</w:t>
      </w:r>
      <w:r w:rsidR="00550CAE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в с. Бронники, 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вул.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Хмельницького, 75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77F52983" w14:textId="77777777" w:rsidR="003D0AE9" w:rsidRDefault="003D0AE9" w:rsidP="003D0AE9">
      <w:pPr>
        <w:pStyle w:val="a3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13468200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власність 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D7B3E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Володимирівні</w:t>
      </w:r>
      <w:r w:rsidR="00A143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7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7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Хмельницького, 75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362AAFCF" w:rsidR="001950EF" w:rsidRDefault="006D7B3E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Володимирівні</w:t>
      </w:r>
      <w:r w:rsidR="00A143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279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2F5F3C6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24A3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24A38">
        <w:rPr>
          <w:rFonts w:ascii="Times New Roman" w:eastAsia="Times New Roman" w:hAnsi="Times New Roman"/>
          <w:sz w:val="28"/>
          <w:szCs w:val="28"/>
          <w:lang w:eastAsia="ru-RU"/>
        </w:rPr>
        <w:t>1049</w:t>
      </w:r>
      <w:r w:rsidRPr="00127928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03-10</w:t>
      </w:r>
      <w:r w:rsidR="00127928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>зверну</w:t>
      </w:r>
      <w:r w:rsidR="006D7B3E" w:rsidRPr="0012792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E8E" w:rsidRPr="00127928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D7B3E" w:rsidRPr="0012792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485E8E"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Надія Володимирівна</w:t>
      </w:r>
      <w:r w:rsidR="00A143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1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2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3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4" w:name="_Hlk87714306"/>
      <w:bookmarkEnd w:id="11"/>
      <w:bookmarkEnd w:id="12"/>
      <w:bookmarkEnd w:id="13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5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Хмельницького, 75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4"/>
      <w:bookmarkEnd w:id="15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125C1DC5" w:rsidR="00005D3F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BE2C4F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Володимирівні</w:t>
      </w:r>
      <w:r w:rsidR="00DF4BA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 xml:space="preserve">Хмельницького, 75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Свідоцтва про право власності на домоволодіння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лютого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видане на підставі рішення виконкому </w:t>
      </w:r>
      <w:proofErr w:type="spellStart"/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Бронниківської</w:t>
      </w:r>
      <w:proofErr w:type="spellEnd"/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від 25 січня 2001 року № 7, об’єкт зареєстрований в Рівненському обласному бюро технічної інвентаризації та записаний в реєстрову книгу с. Бронники том 1, </w:t>
      </w:r>
      <w:proofErr w:type="spellStart"/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стор</w:t>
      </w:r>
      <w:proofErr w:type="spellEnd"/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. 249, поз. 249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29 серп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12792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279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6BDDD55E" w:rsidR="00391E5B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485E8E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proofErr w:type="spellStart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Володимирівні</w:t>
      </w:r>
      <w:r w:rsidR="00A143B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(кадастровий номер 562468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="00127928" w:rsidRPr="008408F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792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r w:rsidR="003D0A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50CAE">
        <w:rPr>
          <w:rFonts w:ascii="Times New Roman" w:eastAsia="Times New Roman" w:hAnsi="Times New Roman"/>
          <w:sz w:val="28"/>
          <w:szCs w:val="28"/>
          <w:lang w:eastAsia="ru-RU"/>
        </w:rPr>
        <w:t>Хмельницького, 75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>Продайко-Осійчук</w:t>
      </w:r>
      <w:proofErr w:type="spellEnd"/>
      <w:r w:rsidR="00A143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Надії Володимирівні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Правові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BE2C4F">
        <w:rPr>
          <w:rFonts w:eastAsia="Times New Roman"/>
          <w:b/>
          <w:sz w:val="28"/>
          <w:szCs w:val="28"/>
          <w:lang w:eastAsia="ru-RU"/>
        </w:rPr>
        <w:t>аспекти</w:t>
      </w:r>
      <w:proofErr w:type="spellEnd"/>
      <w:r w:rsidRPr="00BE2C4F">
        <w:rPr>
          <w:rFonts w:eastAsia="Times New Roman"/>
          <w:b/>
          <w:sz w:val="28"/>
          <w:szCs w:val="28"/>
          <w:lang w:eastAsia="ru-RU"/>
        </w:rPr>
        <w:t>.</w:t>
      </w:r>
    </w:p>
    <w:p w14:paraId="6717A28F" w14:textId="4B36B426" w:rsidR="001950EF" w:rsidRDefault="001950EF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27928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27928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27928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46B9B5D1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5D80DBD4" w14:textId="77777777" w:rsidR="00BE2C4F" w:rsidRDefault="00BE2C4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127928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72EEBCB8" w:rsidR="001950EF" w:rsidRDefault="001950EF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4BCADADA" w14:textId="77777777" w:rsidR="003D0AE9" w:rsidRDefault="003D0AE9" w:rsidP="001279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12792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ADB49AF" w:rsidR="001950EF" w:rsidRPr="008408FA" w:rsidRDefault="001950EF" w:rsidP="00127928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кою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27928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12792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127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 w:rsidP="001279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279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27928">
      <w:pPr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27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 w:rsidP="00127928">
      <w:pPr>
        <w:spacing w:after="0" w:line="240" w:lineRule="auto"/>
      </w:pPr>
    </w:p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AB57A" w14:textId="77777777" w:rsidR="00BC6F67" w:rsidRDefault="00BC6F67" w:rsidP="00265F26">
      <w:pPr>
        <w:spacing w:after="0" w:line="240" w:lineRule="auto"/>
      </w:pPr>
      <w:r>
        <w:separator/>
      </w:r>
    </w:p>
  </w:endnote>
  <w:endnote w:type="continuationSeparator" w:id="0">
    <w:p w14:paraId="0C87124C" w14:textId="77777777" w:rsidR="00BC6F67" w:rsidRDefault="00BC6F67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7EE5" w14:textId="77777777" w:rsidR="00BC6F67" w:rsidRDefault="00BC6F67" w:rsidP="00265F26">
      <w:pPr>
        <w:spacing w:after="0" w:line="240" w:lineRule="auto"/>
      </w:pPr>
      <w:r>
        <w:separator/>
      </w:r>
    </w:p>
  </w:footnote>
  <w:footnote w:type="continuationSeparator" w:id="0">
    <w:p w14:paraId="38C0E035" w14:textId="77777777" w:rsidR="00BC6F67" w:rsidRDefault="00BC6F67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A4F"/>
    <w:rsid w:val="00042DF8"/>
    <w:rsid w:val="00077FF6"/>
    <w:rsid w:val="000D1DDD"/>
    <w:rsid w:val="000E079E"/>
    <w:rsid w:val="00100159"/>
    <w:rsid w:val="0012368D"/>
    <w:rsid w:val="00127928"/>
    <w:rsid w:val="00170072"/>
    <w:rsid w:val="001950EF"/>
    <w:rsid w:val="002215C4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2C2CD8"/>
    <w:rsid w:val="00307EF6"/>
    <w:rsid w:val="0036521E"/>
    <w:rsid w:val="00374930"/>
    <w:rsid w:val="00391E5B"/>
    <w:rsid w:val="003B72A2"/>
    <w:rsid w:val="003D0AE9"/>
    <w:rsid w:val="00485E8E"/>
    <w:rsid w:val="004A5B47"/>
    <w:rsid w:val="004C7C40"/>
    <w:rsid w:val="004D73BE"/>
    <w:rsid w:val="00524A38"/>
    <w:rsid w:val="00550CAE"/>
    <w:rsid w:val="00574EBE"/>
    <w:rsid w:val="005A1B71"/>
    <w:rsid w:val="005F2688"/>
    <w:rsid w:val="00606B2F"/>
    <w:rsid w:val="00630ED6"/>
    <w:rsid w:val="00641358"/>
    <w:rsid w:val="00650C3C"/>
    <w:rsid w:val="006816ED"/>
    <w:rsid w:val="00686EA6"/>
    <w:rsid w:val="006C230E"/>
    <w:rsid w:val="006D7B3E"/>
    <w:rsid w:val="00717D2A"/>
    <w:rsid w:val="007346FC"/>
    <w:rsid w:val="00737FB6"/>
    <w:rsid w:val="00740961"/>
    <w:rsid w:val="0074210D"/>
    <w:rsid w:val="00774743"/>
    <w:rsid w:val="007E13FA"/>
    <w:rsid w:val="00824AEE"/>
    <w:rsid w:val="0082741C"/>
    <w:rsid w:val="008408FA"/>
    <w:rsid w:val="00857106"/>
    <w:rsid w:val="00861F84"/>
    <w:rsid w:val="00870400"/>
    <w:rsid w:val="00873506"/>
    <w:rsid w:val="008F1FCC"/>
    <w:rsid w:val="009261D3"/>
    <w:rsid w:val="00943319"/>
    <w:rsid w:val="009E2ACC"/>
    <w:rsid w:val="00A12D83"/>
    <w:rsid w:val="00A143BB"/>
    <w:rsid w:val="00A2456E"/>
    <w:rsid w:val="00A27430"/>
    <w:rsid w:val="00A62599"/>
    <w:rsid w:val="00A74DDB"/>
    <w:rsid w:val="00AD1F4C"/>
    <w:rsid w:val="00AD6E55"/>
    <w:rsid w:val="00B071DE"/>
    <w:rsid w:val="00B51AD5"/>
    <w:rsid w:val="00B73977"/>
    <w:rsid w:val="00BB3839"/>
    <w:rsid w:val="00BB39C5"/>
    <w:rsid w:val="00BC6F67"/>
    <w:rsid w:val="00BE2C4F"/>
    <w:rsid w:val="00BE7769"/>
    <w:rsid w:val="00C30DEA"/>
    <w:rsid w:val="00C527DE"/>
    <w:rsid w:val="00C57C70"/>
    <w:rsid w:val="00CB3216"/>
    <w:rsid w:val="00CE2872"/>
    <w:rsid w:val="00CF7F1E"/>
    <w:rsid w:val="00D473F2"/>
    <w:rsid w:val="00D75C08"/>
    <w:rsid w:val="00D93AF8"/>
    <w:rsid w:val="00DA6027"/>
    <w:rsid w:val="00DB17BB"/>
    <w:rsid w:val="00DD1F99"/>
    <w:rsid w:val="00DE39F9"/>
    <w:rsid w:val="00DF4BA0"/>
    <w:rsid w:val="00E14043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5411</Words>
  <Characters>3085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32</cp:revision>
  <cp:lastPrinted>2023-09-05T07:39:00Z</cp:lastPrinted>
  <dcterms:created xsi:type="dcterms:W3CDTF">2023-03-02T14:58:00Z</dcterms:created>
  <dcterms:modified xsi:type="dcterms:W3CDTF">2024-12-05T09:50:00Z</dcterms:modified>
</cp:coreProperties>
</file>