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04A8" w:rsidRPr="001704A8" w:rsidRDefault="001704A8" w:rsidP="001704A8">
      <w:pPr>
        <w:tabs>
          <w:tab w:val="left" w:pos="6810"/>
        </w:tabs>
        <w:spacing w:line="240" w:lineRule="auto"/>
        <w:rPr>
          <w:rFonts w:ascii="Times New Roman" w:eastAsia="Times New Roman" w:hAnsi="Times New Roman" w:cs="Times New Roman"/>
          <w:b/>
          <w:color w:val="000000"/>
          <w:sz w:val="28"/>
          <w:szCs w:val="28"/>
          <w:lang w:eastAsia="uk-UA"/>
        </w:rPr>
      </w:pPr>
    </w:p>
    <w:p w:rsidR="001704A8" w:rsidRPr="001704A8" w:rsidRDefault="001704A8" w:rsidP="001704A8">
      <w:pPr>
        <w:spacing w:after="0" w:line="240" w:lineRule="auto"/>
        <w:jc w:val="center"/>
        <w:rPr>
          <w:rFonts w:ascii="Times New Roman" w:eastAsia="Calibri" w:hAnsi="Times New Roman" w:cs="Times New Roman"/>
          <w:b/>
          <w:bCs/>
          <w:sz w:val="28"/>
          <w:szCs w:val="28"/>
        </w:rPr>
      </w:pPr>
      <w:r w:rsidRPr="001704A8">
        <w:rPr>
          <w:rFonts w:ascii="Times New Roman" w:eastAsia="Calibri" w:hAnsi="Times New Roman" w:cs="Times New Roman"/>
          <w:b/>
          <w:bCs/>
          <w:sz w:val="28"/>
          <w:szCs w:val="28"/>
        </w:rPr>
        <w:t>Інформація</w:t>
      </w:r>
    </w:p>
    <w:p w:rsidR="001704A8" w:rsidRPr="001704A8" w:rsidRDefault="001704A8" w:rsidP="001704A8">
      <w:pPr>
        <w:spacing w:after="0" w:line="240" w:lineRule="auto"/>
        <w:jc w:val="center"/>
        <w:rPr>
          <w:rFonts w:ascii="Times New Roman" w:eastAsia="Calibri" w:hAnsi="Times New Roman" w:cs="Times New Roman"/>
          <w:b/>
          <w:bCs/>
          <w:sz w:val="28"/>
          <w:szCs w:val="28"/>
        </w:rPr>
      </w:pPr>
      <w:r w:rsidRPr="001704A8">
        <w:rPr>
          <w:rFonts w:ascii="Times New Roman" w:eastAsia="Calibri" w:hAnsi="Times New Roman" w:cs="Times New Roman"/>
          <w:b/>
          <w:bCs/>
          <w:sz w:val="28"/>
          <w:szCs w:val="28"/>
        </w:rPr>
        <w:t>про стан надання медичних послуг мешканцям Городоцької територіальної громади</w:t>
      </w:r>
    </w:p>
    <w:p w:rsidR="001704A8" w:rsidRPr="001704A8" w:rsidRDefault="001704A8" w:rsidP="001704A8">
      <w:pPr>
        <w:spacing w:after="0" w:line="240" w:lineRule="auto"/>
        <w:jc w:val="center"/>
        <w:rPr>
          <w:rFonts w:ascii="Times New Roman" w:eastAsia="Calibri" w:hAnsi="Times New Roman" w:cs="Times New Roman"/>
          <w:b/>
          <w:bCs/>
          <w:sz w:val="28"/>
          <w:szCs w:val="28"/>
        </w:rPr>
      </w:pP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 xml:space="preserve">На території сільської ради надають медичну допомогу 3 лікарські амбулаторії в селах Городок, </w:t>
      </w:r>
      <w:proofErr w:type="spellStart"/>
      <w:r w:rsidRPr="001704A8">
        <w:rPr>
          <w:rFonts w:ascii="Times New Roman" w:eastAsia="Calibri" w:hAnsi="Times New Roman" w:cs="Times New Roman"/>
          <w:sz w:val="28"/>
          <w:szCs w:val="28"/>
          <w:lang w:eastAsia="uk-UA"/>
        </w:rPr>
        <w:t>Обарів</w:t>
      </w:r>
      <w:proofErr w:type="spellEnd"/>
      <w:r w:rsidRPr="001704A8">
        <w:rPr>
          <w:rFonts w:ascii="Times New Roman" w:eastAsia="Calibri" w:hAnsi="Times New Roman" w:cs="Times New Roman"/>
          <w:sz w:val="28"/>
          <w:szCs w:val="28"/>
          <w:lang w:eastAsia="uk-UA"/>
        </w:rPr>
        <w:t xml:space="preserve">, Карпилівка та 5 ФАПів в селах </w:t>
      </w:r>
      <w:proofErr w:type="spellStart"/>
      <w:r w:rsidRPr="001704A8">
        <w:rPr>
          <w:rFonts w:ascii="Times New Roman" w:eastAsia="Calibri" w:hAnsi="Times New Roman" w:cs="Times New Roman"/>
          <w:sz w:val="28"/>
          <w:szCs w:val="28"/>
          <w:lang w:eastAsia="uk-UA"/>
        </w:rPr>
        <w:t>Метків</w:t>
      </w:r>
      <w:proofErr w:type="spellEnd"/>
      <w:r w:rsidRPr="001704A8">
        <w:rPr>
          <w:rFonts w:ascii="Times New Roman" w:eastAsia="Calibri" w:hAnsi="Times New Roman" w:cs="Times New Roman"/>
          <w:sz w:val="28"/>
          <w:szCs w:val="28"/>
          <w:lang w:eastAsia="uk-UA"/>
        </w:rPr>
        <w:t xml:space="preserve">, Ставки, Бронники, </w:t>
      </w:r>
      <w:proofErr w:type="spellStart"/>
      <w:r w:rsidRPr="001704A8">
        <w:rPr>
          <w:rFonts w:ascii="Times New Roman" w:eastAsia="Calibri" w:hAnsi="Times New Roman" w:cs="Times New Roman"/>
          <w:sz w:val="28"/>
          <w:szCs w:val="28"/>
          <w:lang w:eastAsia="uk-UA"/>
        </w:rPr>
        <w:t>Білівські</w:t>
      </w:r>
      <w:proofErr w:type="spellEnd"/>
      <w:r w:rsidRPr="001704A8">
        <w:rPr>
          <w:rFonts w:ascii="Times New Roman" w:eastAsia="Calibri" w:hAnsi="Times New Roman" w:cs="Times New Roman"/>
          <w:sz w:val="28"/>
          <w:szCs w:val="28"/>
          <w:lang w:eastAsia="uk-UA"/>
        </w:rPr>
        <w:t xml:space="preserve"> Хутори, Рогачів. Працює 6 лікарів на 5,5 ставки (з них 1 мобілізований до лав ЗСУ) та 16 медичних сестер (з них також 1 перебуває в лавах ЗСУ) та 6 осіб допоміжного персоналу. </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 xml:space="preserve">З 3-х лікарських амбулаторій лише одна забезпечена санітарним транспортом. Потреби Обарівської амбулаторії закриваємо автомобілем Центру ПМСД. Медичним інвентарем та обладнанням амбулаторії та ФАПи забезпечені згідно табеля оснащень. Холодильне обладнання все нове та ним забезпечений кожен заклад підприємства. КНП «Медичний простір» має підписаний договір з НСЗУ по 4 пакетам («Первинна медична допомога», Мобільна паліативна допомога дорослим та дітям» «Лікування та супровід хворих на туберкульоз на амбулаторному етапі», Лікування та супровід дорослих та дітей з психічними розладами на первинному рівні медичної допомоги). </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 xml:space="preserve">З метою покращення матеріально-технічної бази амбулаторій у цьому році проводиться ремонт Обарівської амбулаторії та заплановано ремонт Городоцької амбулаторії. Всі амбулаторії забезпечені </w:t>
      </w:r>
      <w:proofErr w:type="spellStart"/>
      <w:r w:rsidRPr="001704A8">
        <w:rPr>
          <w:rFonts w:ascii="Times New Roman" w:eastAsia="Calibri" w:hAnsi="Times New Roman" w:cs="Times New Roman"/>
          <w:sz w:val="28"/>
          <w:szCs w:val="28"/>
          <w:lang w:eastAsia="uk-UA"/>
        </w:rPr>
        <w:t>бензогенераторами</w:t>
      </w:r>
      <w:proofErr w:type="spellEnd"/>
      <w:r w:rsidRPr="001704A8">
        <w:rPr>
          <w:rFonts w:ascii="Times New Roman" w:eastAsia="Calibri" w:hAnsi="Times New Roman" w:cs="Times New Roman"/>
          <w:sz w:val="28"/>
          <w:szCs w:val="28"/>
          <w:lang w:eastAsia="uk-UA"/>
        </w:rPr>
        <w:t xml:space="preserve"> та резервним пальним</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 xml:space="preserve">Лікарями громади укладено 8598 декларацій. </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 xml:space="preserve">По лікарях: </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Максимов В.В. – 1 971;</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Кондратюк В.Р. – 1 905;</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Бабій І.М. – 1 700;</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Коваленко О.В. – 1 371;</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proofErr w:type="spellStart"/>
      <w:r w:rsidRPr="001704A8">
        <w:rPr>
          <w:rFonts w:ascii="Times New Roman" w:eastAsia="Calibri" w:hAnsi="Times New Roman" w:cs="Times New Roman"/>
          <w:sz w:val="28"/>
          <w:szCs w:val="28"/>
          <w:lang w:eastAsia="uk-UA"/>
        </w:rPr>
        <w:t>Макавчук</w:t>
      </w:r>
      <w:proofErr w:type="spellEnd"/>
      <w:r w:rsidRPr="001704A8">
        <w:rPr>
          <w:rFonts w:ascii="Times New Roman" w:eastAsia="Calibri" w:hAnsi="Times New Roman" w:cs="Times New Roman"/>
          <w:sz w:val="28"/>
          <w:szCs w:val="28"/>
          <w:lang w:eastAsia="uk-UA"/>
        </w:rPr>
        <w:t xml:space="preserve"> Д.Ю. – 1 126;</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Юрчик Т.Г. – 525.</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Протягом 6 місяців 2024 року у лікарські амбулаторії було зроблено 11594 відвідувань, з них:</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Відвідувань з приводу захворювань дорослих – 6472;</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Відвідувань з приводу захворювань дітей – 3149;</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Відвідувань на дому – 292.</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Крім того на ФАПи було - 1084 звернень, на дому - 431.</w:t>
      </w:r>
    </w:p>
    <w:p w:rsidR="001704A8" w:rsidRPr="001704A8" w:rsidRDefault="001704A8" w:rsidP="001704A8">
      <w:pPr>
        <w:tabs>
          <w:tab w:val="left" w:pos="915"/>
        </w:tabs>
        <w:spacing w:after="0" w:line="240" w:lineRule="auto"/>
        <w:jc w:val="center"/>
        <w:rPr>
          <w:rFonts w:ascii="Times New Roman" w:eastAsia="Times New Roman" w:hAnsi="Times New Roman" w:cs="Times New Roman"/>
          <w:b/>
          <w:bCs/>
          <w:sz w:val="28"/>
          <w:szCs w:val="28"/>
          <w:lang w:eastAsia="uk-UA"/>
        </w:rPr>
      </w:pPr>
    </w:p>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ПОКАЗНИКИ ЗДОРОВ’Я НАСЕЛЕННЯ</w:t>
      </w:r>
    </w:p>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Демографічні дані за 6 міс. 2024 року.</w:t>
      </w:r>
    </w:p>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p>
    <w:tbl>
      <w:tblPr>
        <w:tblpPr w:leftFromText="180" w:rightFromText="180" w:vertAnchor="text" w:horzAnchor="margin" w:tblpY="-3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3541"/>
        <w:gridCol w:w="1263"/>
        <w:gridCol w:w="1226"/>
        <w:gridCol w:w="1226"/>
        <w:gridCol w:w="1226"/>
      </w:tblGrid>
      <w:tr w:rsidR="001704A8" w:rsidRPr="001704A8" w:rsidTr="00BA4F6C">
        <w:trPr>
          <w:trHeight w:val="299"/>
        </w:trPr>
        <w:tc>
          <w:tcPr>
            <w:tcW w:w="557"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w:t>
            </w:r>
          </w:p>
        </w:tc>
        <w:tc>
          <w:tcPr>
            <w:tcW w:w="3541"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Назва показника</w:t>
            </w:r>
          </w:p>
        </w:tc>
        <w:tc>
          <w:tcPr>
            <w:tcW w:w="1263"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 xml:space="preserve">6 міс.2024 </w:t>
            </w:r>
          </w:p>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lastRenderedPageBreak/>
              <w:t xml:space="preserve">  ОТГ</w:t>
            </w:r>
          </w:p>
        </w:tc>
        <w:tc>
          <w:tcPr>
            <w:tcW w:w="1226"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lastRenderedPageBreak/>
              <w:t xml:space="preserve">6 міс.2024 </w:t>
            </w:r>
            <w:r w:rsidRPr="001704A8">
              <w:rPr>
                <w:rFonts w:ascii="Times New Roman" w:eastAsia="Times New Roman" w:hAnsi="Times New Roman" w:cs="Times New Roman"/>
                <w:sz w:val="28"/>
                <w:szCs w:val="28"/>
                <w:lang w:eastAsia="ru-RU"/>
              </w:rPr>
              <w:lastRenderedPageBreak/>
              <w:t>ПМСД</w:t>
            </w:r>
          </w:p>
        </w:tc>
        <w:tc>
          <w:tcPr>
            <w:tcW w:w="1226"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lastRenderedPageBreak/>
              <w:t xml:space="preserve">6 міс.2023 </w:t>
            </w:r>
          </w:p>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lastRenderedPageBreak/>
              <w:t xml:space="preserve">  ОТГ</w:t>
            </w:r>
          </w:p>
        </w:tc>
        <w:tc>
          <w:tcPr>
            <w:tcW w:w="1226"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lastRenderedPageBreak/>
              <w:t xml:space="preserve">6 міс.2023 </w:t>
            </w:r>
            <w:r w:rsidRPr="001704A8">
              <w:rPr>
                <w:rFonts w:ascii="Times New Roman" w:eastAsia="Times New Roman" w:hAnsi="Times New Roman" w:cs="Times New Roman"/>
                <w:sz w:val="28"/>
                <w:szCs w:val="28"/>
                <w:lang w:eastAsia="ru-RU"/>
              </w:rPr>
              <w:lastRenderedPageBreak/>
              <w:t>ПМСД</w:t>
            </w:r>
          </w:p>
        </w:tc>
      </w:tr>
      <w:tr w:rsidR="001704A8" w:rsidRPr="001704A8" w:rsidTr="00BA4F6C">
        <w:trPr>
          <w:trHeight w:val="353"/>
        </w:trPr>
        <w:tc>
          <w:tcPr>
            <w:tcW w:w="557"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lastRenderedPageBreak/>
              <w:t>1.</w:t>
            </w:r>
          </w:p>
        </w:tc>
        <w:tc>
          <w:tcPr>
            <w:tcW w:w="3541"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Народжуваність на 1000 населення</w:t>
            </w:r>
          </w:p>
        </w:tc>
        <w:tc>
          <w:tcPr>
            <w:tcW w:w="1263"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2,9</w:t>
            </w:r>
          </w:p>
        </w:tc>
        <w:tc>
          <w:tcPr>
            <w:tcW w:w="1226"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2,6</w:t>
            </w:r>
          </w:p>
        </w:tc>
        <w:tc>
          <w:tcPr>
            <w:tcW w:w="1226"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4,2</w:t>
            </w:r>
          </w:p>
        </w:tc>
        <w:tc>
          <w:tcPr>
            <w:tcW w:w="1226"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3,3</w:t>
            </w:r>
          </w:p>
        </w:tc>
      </w:tr>
      <w:tr w:rsidR="001704A8" w:rsidRPr="001704A8" w:rsidTr="00BA4F6C">
        <w:trPr>
          <w:trHeight w:val="516"/>
        </w:trPr>
        <w:tc>
          <w:tcPr>
            <w:tcW w:w="557"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2.</w:t>
            </w:r>
          </w:p>
        </w:tc>
        <w:tc>
          <w:tcPr>
            <w:tcW w:w="3541"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Загальна смертність на 1000 населення</w:t>
            </w:r>
          </w:p>
        </w:tc>
        <w:tc>
          <w:tcPr>
            <w:tcW w:w="1263"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3,2</w:t>
            </w:r>
          </w:p>
        </w:tc>
        <w:tc>
          <w:tcPr>
            <w:tcW w:w="1226"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4,2</w:t>
            </w:r>
          </w:p>
        </w:tc>
        <w:tc>
          <w:tcPr>
            <w:tcW w:w="1226"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3,6</w:t>
            </w:r>
          </w:p>
        </w:tc>
        <w:tc>
          <w:tcPr>
            <w:tcW w:w="1226"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4,4</w:t>
            </w:r>
          </w:p>
        </w:tc>
      </w:tr>
      <w:tr w:rsidR="001704A8" w:rsidRPr="001704A8" w:rsidTr="00BA4F6C">
        <w:trPr>
          <w:trHeight w:val="507"/>
        </w:trPr>
        <w:tc>
          <w:tcPr>
            <w:tcW w:w="557"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3.</w:t>
            </w:r>
          </w:p>
        </w:tc>
        <w:tc>
          <w:tcPr>
            <w:tcW w:w="3541"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proofErr w:type="spellStart"/>
            <w:r w:rsidRPr="001704A8">
              <w:rPr>
                <w:rFonts w:ascii="Times New Roman" w:eastAsia="Times New Roman" w:hAnsi="Times New Roman" w:cs="Times New Roman"/>
                <w:sz w:val="28"/>
                <w:szCs w:val="28"/>
                <w:lang w:eastAsia="ru-RU"/>
              </w:rPr>
              <w:t>Малюкова</w:t>
            </w:r>
            <w:proofErr w:type="spellEnd"/>
            <w:r w:rsidRPr="001704A8">
              <w:rPr>
                <w:rFonts w:ascii="Times New Roman" w:eastAsia="Times New Roman" w:hAnsi="Times New Roman" w:cs="Times New Roman"/>
                <w:sz w:val="28"/>
                <w:szCs w:val="28"/>
                <w:lang w:eastAsia="ru-RU"/>
              </w:rPr>
              <w:t xml:space="preserve"> смертність на 1000 народжених</w:t>
            </w:r>
          </w:p>
        </w:tc>
        <w:tc>
          <w:tcPr>
            <w:tcW w:w="1263"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w:t>
            </w:r>
          </w:p>
        </w:tc>
        <w:tc>
          <w:tcPr>
            <w:tcW w:w="1226"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w:t>
            </w:r>
          </w:p>
        </w:tc>
        <w:tc>
          <w:tcPr>
            <w:tcW w:w="1226"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w:t>
            </w:r>
          </w:p>
        </w:tc>
        <w:tc>
          <w:tcPr>
            <w:tcW w:w="1226"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w:t>
            </w:r>
          </w:p>
        </w:tc>
      </w:tr>
      <w:tr w:rsidR="001704A8" w:rsidRPr="001704A8" w:rsidTr="00BA4F6C">
        <w:trPr>
          <w:trHeight w:val="430"/>
        </w:trPr>
        <w:tc>
          <w:tcPr>
            <w:tcW w:w="557"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4.</w:t>
            </w:r>
          </w:p>
        </w:tc>
        <w:tc>
          <w:tcPr>
            <w:tcW w:w="3541"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 xml:space="preserve">Материнська смертність </w:t>
            </w:r>
          </w:p>
        </w:tc>
        <w:tc>
          <w:tcPr>
            <w:tcW w:w="1263"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w:t>
            </w:r>
          </w:p>
        </w:tc>
        <w:tc>
          <w:tcPr>
            <w:tcW w:w="1226"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w:t>
            </w:r>
          </w:p>
        </w:tc>
        <w:tc>
          <w:tcPr>
            <w:tcW w:w="1226"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w:t>
            </w:r>
          </w:p>
        </w:tc>
        <w:tc>
          <w:tcPr>
            <w:tcW w:w="1226"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w:t>
            </w:r>
          </w:p>
        </w:tc>
      </w:tr>
      <w:tr w:rsidR="001704A8" w:rsidRPr="001704A8" w:rsidTr="00BA4F6C">
        <w:trPr>
          <w:trHeight w:val="449"/>
        </w:trPr>
        <w:tc>
          <w:tcPr>
            <w:tcW w:w="557"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5.</w:t>
            </w:r>
          </w:p>
        </w:tc>
        <w:tc>
          <w:tcPr>
            <w:tcW w:w="3541"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Природній приріст</w:t>
            </w:r>
          </w:p>
        </w:tc>
        <w:tc>
          <w:tcPr>
            <w:tcW w:w="1263"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-0,3</w:t>
            </w:r>
          </w:p>
        </w:tc>
        <w:tc>
          <w:tcPr>
            <w:tcW w:w="1226"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-1,6</w:t>
            </w:r>
          </w:p>
        </w:tc>
        <w:tc>
          <w:tcPr>
            <w:tcW w:w="1226"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+0,6</w:t>
            </w:r>
          </w:p>
        </w:tc>
        <w:tc>
          <w:tcPr>
            <w:tcW w:w="1226" w:type="dxa"/>
            <w:tcBorders>
              <w:top w:val="single" w:sz="4" w:space="0" w:color="auto"/>
              <w:left w:val="single" w:sz="4" w:space="0" w:color="auto"/>
              <w:bottom w:val="single" w:sz="4" w:space="0" w:color="auto"/>
              <w:right w:val="single" w:sz="4" w:space="0" w:color="auto"/>
            </w:tcBorders>
          </w:tcPr>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r w:rsidRPr="001704A8">
              <w:rPr>
                <w:rFonts w:ascii="Times New Roman" w:eastAsia="Times New Roman" w:hAnsi="Times New Roman" w:cs="Times New Roman"/>
                <w:sz w:val="28"/>
                <w:szCs w:val="28"/>
                <w:lang w:eastAsia="ru-RU"/>
              </w:rPr>
              <w:t>-1,1</w:t>
            </w:r>
          </w:p>
        </w:tc>
      </w:tr>
    </w:tbl>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p>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p>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p>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p>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p>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p>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p>
    <w:p w:rsidR="001704A8" w:rsidRPr="001704A8" w:rsidRDefault="001704A8" w:rsidP="001704A8">
      <w:pPr>
        <w:spacing w:after="0" w:line="240" w:lineRule="auto"/>
        <w:jc w:val="center"/>
        <w:rPr>
          <w:rFonts w:ascii="Times New Roman" w:eastAsia="Times New Roman" w:hAnsi="Times New Roman" w:cs="Times New Roman"/>
          <w:sz w:val="28"/>
          <w:szCs w:val="28"/>
          <w:lang w:eastAsia="ru-RU"/>
        </w:rPr>
      </w:pPr>
    </w:p>
    <w:p w:rsidR="001704A8" w:rsidRPr="001704A8" w:rsidRDefault="001704A8" w:rsidP="001704A8">
      <w:pPr>
        <w:spacing w:after="0" w:line="240" w:lineRule="auto"/>
        <w:rPr>
          <w:rFonts w:ascii="Times New Roman" w:eastAsia="Times New Roman" w:hAnsi="Times New Roman" w:cs="Times New Roman"/>
          <w:sz w:val="28"/>
          <w:szCs w:val="28"/>
          <w:lang w:eastAsia="uk-UA"/>
        </w:rPr>
      </w:pPr>
    </w:p>
    <w:p w:rsidR="001704A8" w:rsidRPr="001704A8" w:rsidRDefault="001704A8" w:rsidP="001704A8">
      <w:pPr>
        <w:spacing w:after="0" w:line="240" w:lineRule="auto"/>
        <w:ind w:firstLine="708"/>
        <w:jc w:val="both"/>
        <w:rPr>
          <w:rFonts w:ascii="Times New Roman" w:eastAsia="Times New Roman" w:hAnsi="Times New Roman" w:cs="Times New Roman"/>
          <w:sz w:val="28"/>
          <w:szCs w:val="28"/>
          <w:lang w:eastAsia="uk-UA"/>
        </w:rPr>
      </w:pPr>
    </w:p>
    <w:p w:rsidR="001704A8" w:rsidRPr="001704A8" w:rsidRDefault="001704A8" w:rsidP="001704A8">
      <w:pPr>
        <w:spacing w:after="0" w:line="240" w:lineRule="auto"/>
        <w:ind w:firstLine="708"/>
        <w:jc w:val="both"/>
        <w:rPr>
          <w:rFonts w:ascii="Times New Roman" w:eastAsia="Times New Roman" w:hAnsi="Times New Roman" w:cs="Times New Roman"/>
          <w:sz w:val="28"/>
          <w:szCs w:val="28"/>
          <w:lang w:eastAsia="uk-UA"/>
        </w:rPr>
      </w:pPr>
      <w:r w:rsidRPr="001704A8">
        <w:rPr>
          <w:rFonts w:ascii="Times New Roman" w:eastAsia="Times New Roman" w:hAnsi="Times New Roman" w:cs="Times New Roman"/>
          <w:sz w:val="28"/>
          <w:szCs w:val="28"/>
          <w:lang w:eastAsia="uk-UA"/>
        </w:rPr>
        <w:t xml:space="preserve">Показник загальної захворюваності по ОТГ всього за 6 місяців 2024 р. –  353,7. </w:t>
      </w:r>
    </w:p>
    <w:p w:rsidR="001704A8" w:rsidRPr="001704A8" w:rsidRDefault="001704A8" w:rsidP="001704A8">
      <w:pPr>
        <w:spacing w:after="0" w:line="240" w:lineRule="auto"/>
        <w:ind w:firstLine="708"/>
        <w:jc w:val="both"/>
        <w:rPr>
          <w:rFonts w:ascii="Times New Roman" w:eastAsia="Times New Roman" w:hAnsi="Times New Roman" w:cs="Times New Roman"/>
          <w:sz w:val="28"/>
          <w:szCs w:val="28"/>
          <w:lang w:eastAsia="uk-UA"/>
        </w:rPr>
      </w:pPr>
      <w:r w:rsidRPr="001704A8">
        <w:rPr>
          <w:rFonts w:ascii="Times New Roman" w:eastAsia="Times New Roman" w:hAnsi="Times New Roman" w:cs="Times New Roman"/>
          <w:sz w:val="28"/>
          <w:szCs w:val="28"/>
          <w:lang w:eastAsia="uk-UA"/>
        </w:rPr>
        <w:t xml:space="preserve">Показник загальної захворюваності по території обслуговування підприємства всього – 393,4. </w:t>
      </w:r>
    </w:p>
    <w:p w:rsidR="001704A8" w:rsidRPr="001704A8" w:rsidRDefault="001704A8" w:rsidP="001704A8">
      <w:pPr>
        <w:spacing w:after="0" w:line="240" w:lineRule="auto"/>
        <w:ind w:firstLine="708"/>
        <w:jc w:val="both"/>
        <w:rPr>
          <w:rFonts w:ascii="Times New Roman" w:eastAsia="Times New Roman" w:hAnsi="Times New Roman" w:cs="Times New Roman"/>
          <w:sz w:val="28"/>
          <w:szCs w:val="28"/>
          <w:lang w:eastAsia="uk-UA"/>
        </w:rPr>
      </w:pPr>
      <w:r w:rsidRPr="001704A8">
        <w:rPr>
          <w:rFonts w:ascii="Times New Roman" w:eastAsia="Times New Roman" w:hAnsi="Times New Roman" w:cs="Times New Roman"/>
          <w:sz w:val="28"/>
          <w:szCs w:val="28"/>
          <w:lang w:eastAsia="uk-UA"/>
        </w:rPr>
        <w:t xml:space="preserve">Показник захворюваності </w:t>
      </w:r>
      <w:r w:rsidRPr="001704A8">
        <w:rPr>
          <w:rFonts w:ascii="Times New Roman" w:eastAsia="Times New Roman" w:hAnsi="Times New Roman" w:cs="Times New Roman"/>
          <w:sz w:val="28"/>
          <w:szCs w:val="28"/>
          <w:lang w:eastAsia="uk-UA"/>
        </w:rPr>
        <w:tab/>
        <w:t xml:space="preserve">серед дорослого населення всього 243,1, з якого на: </w:t>
      </w:r>
    </w:p>
    <w:p w:rsidR="001704A8" w:rsidRPr="001704A8" w:rsidRDefault="001704A8" w:rsidP="001704A8">
      <w:pPr>
        <w:spacing w:after="0" w:line="240" w:lineRule="auto"/>
        <w:jc w:val="both"/>
        <w:rPr>
          <w:rFonts w:ascii="Times New Roman" w:eastAsia="Times New Roman" w:hAnsi="Times New Roman" w:cs="Times New Roman"/>
          <w:sz w:val="28"/>
          <w:szCs w:val="28"/>
          <w:lang w:eastAsia="uk-UA"/>
        </w:rPr>
      </w:pPr>
      <w:r w:rsidRPr="001704A8">
        <w:rPr>
          <w:rFonts w:ascii="Times New Roman" w:eastAsia="Times New Roman" w:hAnsi="Times New Roman" w:cs="Times New Roman"/>
          <w:sz w:val="28"/>
          <w:szCs w:val="28"/>
          <w:lang w:eastAsia="uk-UA"/>
        </w:rPr>
        <w:t xml:space="preserve">першому місці хвороби органів дихання – 78%; </w:t>
      </w:r>
    </w:p>
    <w:p w:rsidR="001704A8" w:rsidRPr="001704A8" w:rsidRDefault="001704A8" w:rsidP="001704A8">
      <w:pPr>
        <w:spacing w:after="0" w:line="240" w:lineRule="auto"/>
        <w:jc w:val="both"/>
        <w:rPr>
          <w:rFonts w:ascii="Times New Roman" w:eastAsia="Times New Roman" w:hAnsi="Times New Roman" w:cs="Times New Roman"/>
          <w:sz w:val="28"/>
          <w:szCs w:val="28"/>
          <w:lang w:eastAsia="uk-UA"/>
        </w:rPr>
      </w:pPr>
      <w:r w:rsidRPr="001704A8">
        <w:rPr>
          <w:rFonts w:ascii="Times New Roman" w:eastAsia="Times New Roman" w:hAnsi="Times New Roman" w:cs="Times New Roman"/>
          <w:sz w:val="28"/>
          <w:szCs w:val="28"/>
          <w:lang w:eastAsia="uk-UA"/>
        </w:rPr>
        <w:t xml:space="preserve">другому місці хвороби ендокринної системи – 13%; </w:t>
      </w:r>
    </w:p>
    <w:p w:rsidR="001704A8" w:rsidRPr="001704A8" w:rsidRDefault="001704A8" w:rsidP="001704A8">
      <w:pPr>
        <w:spacing w:after="0" w:line="240" w:lineRule="auto"/>
        <w:jc w:val="both"/>
        <w:rPr>
          <w:rFonts w:ascii="Times New Roman" w:eastAsia="Times New Roman" w:hAnsi="Times New Roman" w:cs="Times New Roman"/>
          <w:sz w:val="28"/>
          <w:szCs w:val="28"/>
          <w:lang w:eastAsia="uk-UA"/>
        </w:rPr>
      </w:pPr>
      <w:r w:rsidRPr="001704A8">
        <w:rPr>
          <w:rFonts w:ascii="Times New Roman" w:eastAsia="Times New Roman" w:hAnsi="Times New Roman" w:cs="Times New Roman"/>
          <w:sz w:val="28"/>
          <w:szCs w:val="28"/>
          <w:lang w:eastAsia="uk-UA"/>
        </w:rPr>
        <w:t>третьому місці хвороби системи кровообігу– 9%;</w:t>
      </w:r>
    </w:p>
    <w:p w:rsidR="001704A8" w:rsidRPr="001704A8" w:rsidRDefault="001704A8" w:rsidP="001704A8">
      <w:pPr>
        <w:spacing w:after="0" w:line="240" w:lineRule="auto"/>
        <w:ind w:firstLine="708"/>
        <w:jc w:val="both"/>
        <w:rPr>
          <w:rFonts w:ascii="Times New Roman" w:eastAsia="Times New Roman" w:hAnsi="Times New Roman" w:cs="Times New Roman"/>
          <w:sz w:val="28"/>
          <w:szCs w:val="28"/>
          <w:lang w:eastAsia="uk-UA"/>
        </w:rPr>
      </w:pPr>
      <w:r w:rsidRPr="001704A8">
        <w:rPr>
          <w:rFonts w:ascii="Times New Roman" w:eastAsia="Times New Roman" w:hAnsi="Times New Roman" w:cs="Times New Roman"/>
          <w:sz w:val="28"/>
          <w:szCs w:val="28"/>
          <w:lang w:eastAsia="uk-UA"/>
        </w:rPr>
        <w:t xml:space="preserve">Показник захворюваності серед дитячого населення всього – 421,7, з якого на: </w:t>
      </w:r>
    </w:p>
    <w:p w:rsidR="001704A8" w:rsidRPr="001704A8" w:rsidRDefault="001704A8" w:rsidP="001704A8">
      <w:pPr>
        <w:spacing w:after="0" w:line="240" w:lineRule="auto"/>
        <w:jc w:val="both"/>
        <w:rPr>
          <w:rFonts w:ascii="Times New Roman" w:eastAsia="Times New Roman" w:hAnsi="Times New Roman" w:cs="Times New Roman"/>
          <w:sz w:val="28"/>
          <w:szCs w:val="28"/>
          <w:lang w:eastAsia="uk-UA"/>
        </w:rPr>
      </w:pPr>
      <w:r w:rsidRPr="001704A8">
        <w:rPr>
          <w:rFonts w:ascii="Times New Roman" w:eastAsia="Times New Roman" w:hAnsi="Times New Roman" w:cs="Times New Roman"/>
          <w:sz w:val="28"/>
          <w:szCs w:val="28"/>
          <w:lang w:eastAsia="uk-UA"/>
        </w:rPr>
        <w:t xml:space="preserve">першому місці хвороби органів дихання – 90%; </w:t>
      </w:r>
    </w:p>
    <w:p w:rsidR="001704A8" w:rsidRPr="001704A8" w:rsidRDefault="001704A8" w:rsidP="001704A8">
      <w:pPr>
        <w:spacing w:after="0" w:line="240" w:lineRule="auto"/>
        <w:jc w:val="both"/>
        <w:rPr>
          <w:rFonts w:ascii="Times New Roman" w:eastAsia="Times New Roman" w:hAnsi="Times New Roman" w:cs="Times New Roman"/>
          <w:sz w:val="28"/>
          <w:szCs w:val="28"/>
          <w:lang w:eastAsia="uk-UA"/>
        </w:rPr>
      </w:pPr>
      <w:r w:rsidRPr="001704A8">
        <w:rPr>
          <w:rFonts w:ascii="Times New Roman" w:eastAsia="Times New Roman" w:hAnsi="Times New Roman" w:cs="Times New Roman"/>
          <w:sz w:val="28"/>
          <w:szCs w:val="28"/>
          <w:lang w:eastAsia="uk-UA"/>
        </w:rPr>
        <w:t>другому місці інфекційні та паразитарні захворювання  – 6%;</w:t>
      </w:r>
    </w:p>
    <w:p w:rsidR="001704A8" w:rsidRPr="001704A8" w:rsidRDefault="001704A8" w:rsidP="001704A8">
      <w:pPr>
        <w:spacing w:after="0" w:line="240" w:lineRule="auto"/>
        <w:jc w:val="both"/>
        <w:rPr>
          <w:rFonts w:ascii="Times New Roman" w:eastAsia="Times New Roman" w:hAnsi="Times New Roman" w:cs="Times New Roman"/>
          <w:sz w:val="28"/>
          <w:szCs w:val="28"/>
          <w:lang w:eastAsia="uk-UA"/>
        </w:rPr>
      </w:pPr>
      <w:r w:rsidRPr="001704A8">
        <w:rPr>
          <w:rFonts w:ascii="Times New Roman" w:eastAsia="Times New Roman" w:hAnsi="Times New Roman" w:cs="Times New Roman"/>
          <w:sz w:val="28"/>
          <w:szCs w:val="28"/>
          <w:lang w:eastAsia="uk-UA"/>
        </w:rPr>
        <w:t xml:space="preserve">третьому місці хвороби вуха – 4%; </w:t>
      </w:r>
    </w:p>
    <w:p w:rsidR="001704A8" w:rsidRPr="001704A8" w:rsidRDefault="001704A8" w:rsidP="001704A8">
      <w:pPr>
        <w:tabs>
          <w:tab w:val="left" w:pos="915"/>
        </w:tabs>
        <w:spacing w:line="240" w:lineRule="auto"/>
        <w:jc w:val="center"/>
        <w:rPr>
          <w:rFonts w:ascii="Times New Roman" w:eastAsia="Times New Roman" w:hAnsi="Times New Roman" w:cs="Times New Roman"/>
          <w:b/>
          <w:sz w:val="28"/>
          <w:szCs w:val="28"/>
          <w:lang w:eastAsia="uk-UA"/>
        </w:rPr>
      </w:pPr>
    </w:p>
    <w:p w:rsidR="001704A8" w:rsidRPr="001704A8" w:rsidRDefault="001704A8" w:rsidP="001704A8">
      <w:pPr>
        <w:tabs>
          <w:tab w:val="left" w:pos="915"/>
        </w:tabs>
        <w:spacing w:line="240" w:lineRule="auto"/>
        <w:jc w:val="center"/>
        <w:rPr>
          <w:rFonts w:ascii="Times New Roman" w:eastAsia="Times New Roman" w:hAnsi="Times New Roman" w:cs="Times New Roman"/>
          <w:noProof/>
          <w:sz w:val="28"/>
          <w:szCs w:val="28"/>
          <w:lang w:eastAsia="uk-UA"/>
        </w:rPr>
      </w:pPr>
      <w:r w:rsidRPr="001704A8">
        <w:rPr>
          <w:rFonts w:ascii="Times New Roman" w:eastAsia="Times New Roman" w:hAnsi="Times New Roman" w:cs="Times New Roman"/>
          <w:b/>
          <w:sz w:val="28"/>
          <w:szCs w:val="28"/>
          <w:lang w:eastAsia="uk-UA"/>
        </w:rPr>
        <w:t>Загальна захворюваність</w:t>
      </w:r>
    </w:p>
    <w:p w:rsidR="001704A8" w:rsidRPr="001704A8" w:rsidRDefault="001704A8" w:rsidP="001704A8">
      <w:pPr>
        <w:tabs>
          <w:tab w:val="left" w:pos="915"/>
        </w:tabs>
        <w:spacing w:line="240" w:lineRule="auto"/>
        <w:jc w:val="center"/>
        <w:rPr>
          <w:rFonts w:ascii="Times New Roman" w:eastAsia="Times New Roman" w:hAnsi="Times New Roman" w:cs="Times New Roman"/>
          <w:sz w:val="28"/>
          <w:szCs w:val="28"/>
          <w:lang w:eastAsia="uk-UA"/>
        </w:rPr>
      </w:pPr>
      <w:r w:rsidRPr="001704A8">
        <w:rPr>
          <w:rFonts w:ascii="Times New Roman" w:eastAsia="Times New Roman" w:hAnsi="Times New Roman" w:cs="Times New Roman"/>
          <w:noProof/>
          <w:sz w:val="28"/>
          <w:szCs w:val="28"/>
          <w:lang w:eastAsia="uk-UA"/>
        </w:rPr>
        <w:drawing>
          <wp:inline distT="0" distB="0" distL="0" distR="0" wp14:anchorId="43678279" wp14:editId="75052E73">
            <wp:extent cx="5029200" cy="3200400"/>
            <wp:effectExtent l="0" t="0" r="19050" b="19050"/>
            <wp:docPr id="2"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1704A8" w:rsidRPr="001704A8" w:rsidRDefault="001704A8" w:rsidP="001704A8">
      <w:pPr>
        <w:tabs>
          <w:tab w:val="left" w:pos="915"/>
        </w:tabs>
        <w:spacing w:line="240" w:lineRule="auto"/>
        <w:jc w:val="center"/>
        <w:rPr>
          <w:rFonts w:ascii="Times New Roman" w:eastAsia="Times New Roman" w:hAnsi="Times New Roman" w:cs="Times New Roman"/>
          <w:b/>
          <w:bCs/>
          <w:sz w:val="28"/>
          <w:szCs w:val="28"/>
          <w:lang w:eastAsia="uk-UA"/>
        </w:rPr>
      </w:pPr>
    </w:p>
    <w:p w:rsidR="001704A8" w:rsidRPr="001704A8" w:rsidRDefault="001704A8" w:rsidP="001704A8">
      <w:pPr>
        <w:tabs>
          <w:tab w:val="left" w:pos="915"/>
        </w:tabs>
        <w:spacing w:line="240" w:lineRule="auto"/>
        <w:jc w:val="center"/>
        <w:rPr>
          <w:rFonts w:ascii="Times New Roman" w:eastAsia="Times New Roman" w:hAnsi="Times New Roman" w:cs="Times New Roman"/>
          <w:sz w:val="28"/>
          <w:szCs w:val="28"/>
          <w:lang w:eastAsia="uk-UA"/>
        </w:rPr>
      </w:pPr>
      <w:r w:rsidRPr="001704A8">
        <w:rPr>
          <w:rFonts w:ascii="Times New Roman" w:eastAsia="Times New Roman" w:hAnsi="Times New Roman" w:cs="Times New Roman"/>
          <w:b/>
          <w:bCs/>
          <w:sz w:val="28"/>
          <w:szCs w:val="28"/>
          <w:lang w:eastAsia="uk-UA"/>
        </w:rPr>
        <w:lastRenderedPageBreak/>
        <w:t>Показник захворюваності серед дитячого населення</w:t>
      </w:r>
    </w:p>
    <w:p w:rsidR="001704A8" w:rsidRPr="001704A8" w:rsidRDefault="001704A8" w:rsidP="001704A8">
      <w:pPr>
        <w:tabs>
          <w:tab w:val="left" w:pos="915"/>
        </w:tabs>
        <w:spacing w:line="240" w:lineRule="auto"/>
        <w:jc w:val="center"/>
        <w:rPr>
          <w:rFonts w:ascii="Times New Roman" w:eastAsia="Times New Roman" w:hAnsi="Times New Roman" w:cs="Times New Roman"/>
          <w:noProof/>
          <w:sz w:val="28"/>
          <w:szCs w:val="28"/>
          <w:lang w:eastAsia="uk-UA"/>
        </w:rPr>
      </w:pPr>
      <w:r w:rsidRPr="001704A8">
        <w:rPr>
          <w:rFonts w:ascii="Times New Roman" w:eastAsia="Times New Roman" w:hAnsi="Times New Roman" w:cs="Times New Roman"/>
          <w:noProof/>
          <w:sz w:val="28"/>
          <w:szCs w:val="28"/>
          <w:lang w:eastAsia="uk-UA"/>
        </w:rPr>
        <w:drawing>
          <wp:inline distT="0" distB="0" distL="0" distR="0" wp14:anchorId="62D3F174" wp14:editId="77E2DCC2">
            <wp:extent cx="4359529" cy="2529840"/>
            <wp:effectExtent l="19050" t="0" r="21971" b="3810"/>
            <wp:docPr id="3"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704A8" w:rsidRPr="001704A8" w:rsidRDefault="001704A8" w:rsidP="001704A8">
      <w:pPr>
        <w:tabs>
          <w:tab w:val="left" w:pos="915"/>
        </w:tabs>
        <w:spacing w:line="240" w:lineRule="auto"/>
        <w:jc w:val="center"/>
        <w:rPr>
          <w:rFonts w:ascii="Times New Roman" w:eastAsia="Times New Roman" w:hAnsi="Times New Roman" w:cs="Times New Roman"/>
          <w:b/>
          <w:bCs/>
          <w:sz w:val="28"/>
          <w:szCs w:val="28"/>
          <w:lang w:eastAsia="uk-UA"/>
        </w:rPr>
      </w:pPr>
    </w:p>
    <w:p w:rsidR="001704A8" w:rsidRPr="001704A8" w:rsidRDefault="001704A8" w:rsidP="001704A8">
      <w:pPr>
        <w:tabs>
          <w:tab w:val="left" w:pos="915"/>
        </w:tabs>
        <w:spacing w:line="240" w:lineRule="auto"/>
        <w:jc w:val="center"/>
        <w:rPr>
          <w:rFonts w:ascii="Times New Roman" w:eastAsia="Times New Roman" w:hAnsi="Times New Roman" w:cs="Times New Roman"/>
          <w:b/>
          <w:bCs/>
          <w:sz w:val="28"/>
          <w:szCs w:val="28"/>
          <w:lang w:eastAsia="uk-UA"/>
        </w:rPr>
      </w:pPr>
      <w:r w:rsidRPr="001704A8">
        <w:rPr>
          <w:rFonts w:ascii="Times New Roman" w:eastAsia="Times New Roman" w:hAnsi="Times New Roman" w:cs="Times New Roman"/>
          <w:b/>
          <w:bCs/>
          <w:sz w:val="28"/>
          <w:szCs w:val="28"/>
          <w:lang w:eastAsia="uk-UA"/>
        </w:rPr>
        <w:t>Захворюваність на інсульти</w:t>
      </w:r>
    </w:p>
    <w:p w:rsidR="001704A8" w:rsidRPr="001704A8" w:rsidRDefault="001704A8" w:rsidP="001704A8">
      <w:pPr>
        <w:spacing w:line="240" w:lineRule="auto"/>
        <w:jc w:val="center"/>
        <w:rPr>
          <w:rFonts w:ascii="Times New Roman" w:eastAsia="Times New Roman" w:hAnsi="Times New Roman" w:cs="Times New Roman"/>
          <w:b/>
          <w:bCs/>
          <w:sz w:val="28"/>
          <w:szCs w:val="28"/>
          <w:lang w:eastAsia="uk-UA"/>
        </w:rPr>
      </w:pPr>
      <w:r w:rsidRPr="001704A8">
        <w:rPr>
          <w:rFonts w:ascii="Times New Roman" w:eastAsia="Times New Roman" w:hAnsi="Times New Roman" w:cs="Times New Roman"/>
          <w:noProof/>
          <w:sz w:val="28"/>
          <w:szCs w:val="28"/>
          <w:lang w:eastAsia="uk-UA"/>
        </w:rPr>
        <w:drawing>
          <wp:inline distT="0" distB="0" distL="0" distR="0" wp14:anchorId="553BF4B6" wp14:editId="7827DC3B">
            <wp:extent cx="4391025" cy="1933575"/>
            <wp:effectExtent l="19050" t="0" r="9525" b="0"/>
            <wp:docPr id="4"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704A8" w:rsidRPr="001704A8" w:rsidRDefault="001704A8" w:rsidP="001704A8">
      <w:pPr>
        <w:spacing w:line="240" w:lineRule="auto"/>
        <w:jc w:val="center"/>
        <w:rPr>
          <w:rFonts w:ascii="Times New Roman" w:eastAsia="Times New Roman" w:hAnsi="Times New Roman" w:cs="Times New Roman"/>
          <w:sz w:val="28"/>
          <w:szCs w:val="28"/>
          <w:lang w:eastAsia="uk-UA"/>
        </w:rPr>
      </w:pPr>
      <w:r w:rsidRPr="001704A8">
        <w:rPr>
          <w:rFonts w:ascii="Times New Roman" w:eastAsia="Times New Roman" w:hAnsi="Times New Roman" w:cs="Times New Roman"/>
          <w:b/>
          <w:bCs/>
          <w:sz w:val="28"/>
          <w:szCs w:val="28"/>
          <w:lang w:eastAsia="uk-UA"/>
        </w:rPr>
        <w:t>Захворюваність на інфаркти</w:t>
      </w:r>
      <w:r w:rsidRPr="001704A8">
        <w:rPr>
          <w:rFonts w:ascii="Times New Roman" w:eastAsia="Times New Roman" w:hAnsi="Times New Roman" w:cs="Times New Roman"/>
          <w:noProof/>
          <w:sz w:val="28"/>
          <w:szCs w:val="28"/>
          <w:lang w:eastAsia="uk-UA"/>
        </w:rPr>
        <w:drawing>
          <wp:inline distT="0" distB="0" distL="0" distR="0" wp14:anchorId="2C38B5C7" wp14:editId="16A24DF7">
            <wp:extent cx="4117721" cy="2846832"/>
            <wp:effectExtent l="19050" t="0" r="16129" b="0"/>
            <wp:docPr id="5"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704A8" w:rsidRPr="001704A8" w:rsidRDefault="001704A8" w:rsidP="001704A8">
      <w:pPr>
        <w:tabs>
          <w:tab w:val="left" w:pos="960"/>
        </w:tabs>
        <w:spacing w:line="240" w:lineRule="auto"/>
        <w:jc w:val="center"/>
        <w:rPr>
          <w:rFonts w:ascii="Times New Roman" w:eastAsia="Times New Roman" w:hAnsi="Times New Roman" w:cs="Times New Roman"/>
          <w:b/>
          <w:bCs/>
          <w:sz w:val="28"/>
          <w:szCs w:val="28"/>
          <w:lang w:eastAsia="uk-UA"/>
        </w:rPr>
      </w:pPr>
    </w:p>
    <w:p w:rsidR="001704A8" w:rsidRPr="001704A8" w:rsidRDefault="001704A8" w:rsidP="001704A8">
      <w:pPr>
        <w:tabs>
          <w:tab w:val="left" w:pos="960"/>
        </w:tabs>
        <w:spacing w:line="240" w:lineRule="auto"/>
        <w:jc w:val="center"/>
        <w:rPr>
          <w:rFonts w:ascii="Times New Roman" w:eastAsia="Times New Roman" w:hAnsi="Times New Roman" w:cs="Times New Roman"/>
          <w:sz w:val="28"/>
          <w:szCs w:val="28"/>
          <w:lang w:eastAsia="uk-UA"/>
        </w:rPr>
      </w:pPr>
      <w:r w:rsidRPr="001704A8">
        <w:rPr>
          <w:rFonts w:ascii="Times New Roman" w:eastAsia="Times New Roman" w:hAnsi="Times New Roman" w:cs="Times New Roman"/>
          <w:b/>
          <w:bCs/>
          <w:sz w:val="28"/>
          <w:szCs w:val="28"/>
          <w:lang w:eastAsia="uk-UA"/>
        </w:rPr>
        <w:lastRenderedPageBreak/>
        <w:t xml:space="preserve">Первинний </w:t>
      </w:r>
      <w:proofErr w:type="spellStart"/>
      <w:r w:rsidRPr="001704A8">
        <w:rPr>
          <w:rFonts w:ascii="Times New Roman" w:eastAsia="Times New Roman" w:hAnsi="Times New Roman" w:cs="Times New Roman"/>
          <w:b/>
          <w:bCs/>
          <w:sz w:val="28"/>
          <w:szCs w:val="28"/>
          <w:lang w:eastAsia="uk-UA"/>
        </w:rPr>
        <w:t>вакцинальний</w:t>
      </w:r>
      <w:proofErr w:type="spellEnd"/>
      <w:r w:rsidRPr="001704A8">
        <w:rPr>
          <w:rFonts w:ascii="Times New Roman" w:eastAsia="Times New Roman" w:hAnsi="Times New Roman" w:cs="Times New Roman"/>
          <w:b/>
          <w:bCs/>
          <w:sz w:val="28"/>
          <w:szCs w:val="28"/>
          <w:lang w:eastAsia="uk-UA"/>
        </w:rPr>
        <w:t xml:space="preserve"> комплекс</w:t>
      </w:r>
    </w:p>
    <w:p w:rsidR="001704A8" w:rsidRPr="001704A8" w:rsidRDefault="001704A8" w:rsidP="001704A8">
      <w:pPr>
        <w:spacing w:line="240" w:lineRule="auto"/>
        <w:jc w:val="center"/>
        <w:rPr>
          <w:rFonts w:ascii="Times New Roman" w:eastAsia="Times New Roman" w:hAnsi="Times New Roman" w:cs="Times New Roman"/>
          <w:sz w:val="28"/>
          <w:szCs w:val="28"/>
          <w:lang w:eastAsia="uk-UA"/>
        </w:rPr>
      </w:pPr>
      <w:r w:rsidRPr="001704A8">
        <w:rPr>
          <w:rFonts w:ascii="Times New Roman" w:eastAsia="Times New Roman" w:hAnsi="Times New Roman" w:cs="Times New Roman"/>
          <w:noProof/>
          <w:sz w:val="28"/>
          <w:szCs w:val="28"/>
          <w:lang w:eastAsia="uk-UA"/>
        </w:rPr>
        <w:drawing>
          <wp:inline distT="0" distB="0" distL="0" distR="0" wp14:anchorId="6B95B8D2" wp14:editId="69E0440D">
            <wp:extent cx="4250309" cy="1993392"/>
            <wp:effectExtent l="19050" t="0" r="16891" b="6858"/>
            <wp:docPr id="6"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704A8" w:rsidRPr="001704A8" w:rsidRDefault="001704A8" w:rsidP="001704A8">
      <w:pPr>
        <w:tabs>
          <w:tab w:val="left" w:pos="1425"/>
        </w:tabs>
        <w:spacing w:line="240" w:lineRule="auto"/>
        <w:jc w:val="center"/>
        <w:rPr>
          <w:rFonts w:ascii="Times New Roman" w:eastAsia="Times New Roman" w:hAnsi="Times New Roman" w:cs="Times New Roman"/>
          <w:b/>
          <w:bCs/>
          <w:sz w:val="28"/>
          <w:szCs w:val="28"/>
          <w:lang w:eastAsia="uk-UA"/>
        </w:rPr>
      </w:pPr>
    </w:p>
    <w:p w:rsidR="001704A8" w:rsidRPr="001704A8" w:rsidRDefault="001704A8" w:rsidP="001704A8">
      <w:pPr>
        <w:tabs>
          <w:tab w:val="left" w:pos="1425"/>
        </w:tabs>
        <w:spacing w:line="240" w:lineRule="auto"/>
        <w:jc w:val="center"/>
        <w:rPr>
          <w:rFonts w:ascii="Times New Roman" w:eastAsia="Times New Roman" w:hAnsi="Times New Roman" w:cs="Times New Roman"/>
          <w:sz w:val="28"/>
          <w:szCs w:val="28"/>
          <w:lang w:eastAsia="uk-UA"/>
        </w:rPr>
      </w:pPr>
      <w:r w:rsidRPr="001704A8">
        <w:rPr>
          <w:rFonts w:ascii="Times New Roman" w:eastAsia="Times New Roman" w:hAnsi="Times New Roman" w:cs="Times New Roman"/>
          <w:b/>
          <w:bCs/>
          <w:sz w:val="28"/>
          <w:szCs w:val="28"/>
          <w:lang w:eastAsia="uk-UA"/>
        </w:rPr>
        <w:t>Щеплення дорослого населення АДП-м</w:t>
      </w:r>
    </w:p>
    <w:p w:rsidR="001704A8" w:rsidRPr="001704A8" w:rsidRDefault="001704A8" w:rsidP="001704A8">
      <w:pPr>
        <w:tabs>
          <w:tab w:val="left" w:pos="1245"/>
        </w:tabs>
        <w:spacing w:line="240" w:lineRule="auto"/>
        <w:jc w:val="center"/>
        <w:rPr>
          <w:rFonts w:ascii="Times New Roman" w:eastAsia="Times New Roman" w:hAnsi="Times New Roman" w:cs="Times New Roman"/>
          <w:sz w:val="28"/>
          <w:szCs w:val="28"/>
          <w:lang w:eastAsia="uk-UA"/>
        </w:rPr>
      </w:pPr>
      <w:r w:rsidRPr="001704A8">
        <w:rPr>
          <w:rFonts w:ascii="Times New Roman" w:eastAsia="Times New Roman" w:hAnsi="Times New Roman" w:cs="Times New Roman"/>
          <w:noProof/>
          <w:sz w:val="28"/>
          <w:szCs w:val="28"/>
          <w:lang w:eastAsia="uk-UA"/>
        </w:rPr>
        <w:drawing>
          <wp:inline distT="0" distB="0" distL="0" distR="0" wp14:anchorId="5B9F98FD" wp14:editId="14BCFBD4">
            <wp:extent cx="4165600" cy="1822704"/>
            <wp:effectExtent l="19050" t="0" r="25400" b="6096"/>
            <wp:docPr id="7"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04A8" w:rsidRPr="001704A8" w:rsidRDefault="001704A8" w:rsidP="001704A8">
      <w:pPr>
        <w:tabs>
          <w:tab w:val="left" w:pos="851"/>
        </w:tabs>
        <w:spacing w:after="0" w:line="240" w:lineRule="auto"/>
        <w:jc w:val="center"/>
        <w:rPr>
          <w:rFonts w:ascii="Times New Roman" w:eastAsia="Times New Roman" w:hAnsi="Times New Roman" w:cs="Times New Roman"/>
          <w:b/>
          <w:sz w:val="28"/>
          <w:szCs w:val="28"/>
          <w:lang w:eastAsia="uk-UA"/>
        </w:rPr>
      </w:pPr>
    </w:p>
    <w:p w:rsidR="001704A8" w:rsidRPr="001704A8" w:rsidRDefault="001704A8" w:rsidP="001704A8">
      <w:pPr>
        <w:spacing w:line="240" w:lineRule="auto"/>
        <w:jc w:val="center"/>
        <w:rPr>
          <w:rFonts w:ascii="Times New Roman" w:eastAsia="Times New Roman" w:hAnsi="Times New Roman" w:cs="Times New Roman"/>
          <w:b/>
          <w:sz w:val="28"/>
          <w:szCs w:val="28"/>
          <w:lang w:eastAsia="uk-UA"/>
        </w:rPr>
      </w:pPr>
      <w:r w:rsidRPr="001704A8">
        <w:rPr>
          <w:rFonts w:ascii="Times New Roman" w:eastAsia="Times New Roman" w:hAnsi="Times New Roman" w:cs="Times New Roman"/>
          <w:b/>
          <w:sz w:val="28"/>
          <w:szCs w:val="28"/>
          <w:lang w:eastAsia="uk-UA"/>
        </w:rPr>
        <w:t>Фінансування</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За 8 місяців 2024 року консолідований дохід КНП становив 43849427,87 грн., з них від НСЗУ профінансовано 34 445 141,24  (78,6 %), що на 1,3 млн. грн. більше минулого року. Кошти територіальних громад – 8 712 954,53 (19,8 %), з них кошти Городоцької територіальної громади становлять 1 643 144,92 грн., що на 60 тис. грн. більше минулого року і становить 3,7% бюджету КНП.</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Платні послуги, оренда і інші грошові надходження КНП  691 332,10 грн. (1,6 %)</w:t>
      </w:r>
    </w:p>
    <w:p w:rsidR="001704A8" w:rsidRPr="001704A8" w:rsidRDefault="001704A8" w:rsidP="001704A8">
      <w:pPr>
        <w:spacing w:line="240" w:lineRule="auto"/>
        <w:jc w:val="center"/>
        <w:rPr>
          <w:rFonts w:ascii="Times New Roman" w:eastAsia="Times New Roman" w:hAnsi="Times New Roman" w:cs="Times New Roman"/>
          <w:sz w:val="28"/>
          <w:szCs w:val="28"/>
          <w:lang w:eastAsia="uk-UA"/>
        </w:rPr>
      </w:pPr>
      <w:r w:rsidRPr="001704A8">
        <w:rPr>
          <w:rFonts w:ascii="Times New Roman" w:eastAsia="Times New Roman" w:hAnsi="Times New Roman" w:cs="Times New Roman"/>
          <w:noProof/>
          <w:sz w:val="28"/>
          <w:szCs w:val="28"/>
          <w:lang w:eastAsia="uk-UA"/>
        </w:rPr>
        <w:drawing>
          <wp:inline distT="0" distB="0" distL="0" distR="0" wp14:anchorId="3115A64B" wp14:editId="26996084">
            <wp:extent cx="4060317" cy="1938528"/>
            <wp:effectExtent l="19050" t="0" r="16383" b="4572"/>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lastRenderedPageBreak/>
        <w:t xml:space="preserve">За 8 місяців 2024 року, як повідомлялось вище використано коштів Городоцької сільської ради </w:t>
      </w:r>
      <w:r w:rsidRPr="001704A8">
        <w:rPr>
          <w:rFonts w:ascii="Times New Roman" w:eastAsia="Calibri" w:hAnsi="Times New Roman" w:cs="Times New Roman"/>
          <w:color w:val="000000"/>
          <w:sz w:val="28"/>
          <w:szCs w:val="28"/>
          <w:lang w:eastAsia="uk-UA"/>
        </w:rPr>
        <w:t xml:space="preserve">1 643 144,92 </w:t>
      </w:r>
      <w:r w:rsidRPr="001704A8">
        <w:rPr>
          <w:rFonts w:ascii="Times New Roman" w:eastAsia="Calibri" w:hAnsi="Times New Roman" w:cs="Times New Roman"/>
          <w:sz w:val="28"/>
          <w:szCs w:val="28"/>
          <w:lang w:eastAsia="uk-UA"/>
        </w:rPr>
        <w:t xml:space="preserve">грн.  Кошти були спрямовані: </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на оплату комунальних послуг – 378953,04 грн.,;</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на «місцеві стимули» медичних працівників – 404 016,07 грн.;</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на придбання матеріалів – 55 077,69 грн.;</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на оплату поточного ремонту Обарівської ЗПСМ – 634247,00 грн.;</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на забезпечення громадян громади пільговими ліками та виробами медичного призначення - 170 851,12 грн. (за аналогічний період минулого року  – 105 125,28 грн.)</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 xml:space="preserve">Нашим підприємством сплачено ПДФО до Городоцького сільського бюджету за 8 місяців 2024 року на суму 1 065 921,87 грн. </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Проблемні питання:</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Городоцька амбулаторія потребує поточного ремонту всіх будівель.</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Потребує поточного ремонт ФАП села Бронники.</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 xml:space="preserve">Потребує завершення ремонту </w:t>
      </w:r>
      <w:proofErr w:type="spellStart"/>
      <w:r w:rsidRPr="001704A8">
        <w:rPr>
          <w:rFonts w:ascii="Times New Roman" w:eastAsia="Calibri" w:hAnsi="Times New Roman" w:cs="Times New Roman"/>
          <w:sz w:val="28"/>
          <w:szCs w:val="28"/>
          <w:lang w:eastAsia="uk-UA"/>
        </w:rPr>
        <w:t>Обарівська</w:t>
      </w:r>
      <w:proofErr w:type="spellEnd"/>
      <w:r w:rsidRPr="001704A8">
        <w:rPr>
          <w:rFonts w:ascii="Times New Roman" w:eastAsia="Calibri" w:hAnsi="Times New Roman" w:cs="Times New Roman"/>
          <w:sz w:val="28"/>
          <w:szCs w:val="28"/>
          <w:lang w:eastAsia="uk-UA"/>
        </w:rPr>
        <w:t xml:space="preserve"> амбулаторія.</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 xml:space="preserve">На виконання рекомендацій МОЗ, для комфортного перебування пацієнтів, необхідно закупити кондиціонери в </w:t>
      </w:r>
      <w:proofErr w:type="spellStart"/>
      <w:r w:rsidRPr="001704A8">
        <w:rPr>
          <w:rFonts w:ascii="Times New Roman" w:eastAsia="Calibri" w:hAnsi="Times New Roman" w:cs="Times New Roman"/>
          <w:sz w:val="28"/>
          <w:szCs w:val="28"/>
          <w:lang w:eastAsia="uk-UA"/>
        </w:rPr>
        <w:t>Обарівську</w:t>
      </w:r>
      <w:proofErr w:type="spellEnd"/>
      <w:r w:rsidRPr="001704A8">
        <w:rPr>
          <w:rFonts w:ascii="Times New Roman" w:eastAsia="Calibri" w:hAnsi="Times New Roman" w:cs="Times New Roman"/>
          <w:sz w:val="28"/>
          <w:szCs w:val="28"/>
          <w:lang w:eastAsia="uk-UA"/>
        </w:rPr>
        <w:t xml:space="preserve"> та Городоцьку амбулаторії. (мінімум 5 шт. в кожен кабінет прийому лікаря).</w:t>
      </w:r>
    </w:p>
    <w:p w:rsidR="001704A8" w:rsidRPr="001704A8" w:rsidRDefault="001704A8" w:rsidP="001704A8">
      <w:pPr>
        <w:spacing w:after="0" w:line="240" w:lineRule="auto"/>
        <w:ind w:firstLine="567"/>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Створення спільного підприємства територіальних громад Рівненського району.</w:t>
      </w:r>
    </w:p>
    <w:p w:rsidR="001704A8" w:rsidRPr="001704A8" w:rsidRDefault="001704A8" w:rsidP="001704A8">
      <w:pPr>
        <w:spacing w:after="0" w:line="240" w:lineRule="auto"/>
        <w:jc w:val="both"/>
        <w:rPr>
          <w:rFonts w:ascii="Times New Roman" w:eastAsia="Calibri" w:hAnsi="Times New Roman" w:cs="Times New Roman"/>
          <w:sz w:val="28"/>
          <w:szCs w:val="28"/>
          <w:lang w:eastAsia="uk-UA"/>
        </w:rPr>
      </w:pPr>
    </w:p>
    <w:p w:rsidR="001704A8" w:rsidRPr="001704A8" w:rsidRDefault="001704A8" w:rsidP="001704A8">
      <w:pPr>
        <w:spacing w:after="0" w:line="240" w:lineRule="auto"/>
        <w:jc w:val="both"/>
        <w:rPr>
          <w:rFonts w:ascii="Times New Roman" w:eastAsia="Calibri" w:hAnsi="Times New Roman" w:cs="Times New Roman"/>
          <w:sz w:val="28"/>
          <w:szCs w:val="28"/>
          <w:lang w:eastAsia="uk-UA"/>
        </w:rPr>
      </w:pPr>
    </w:p>
    <w:p w:rsidR="001704A8" w:rsidRPr="001704A8" w:rsidRDefault="001704A8" w:rsidP="001704A8">
      <w:pPr>
        <w:spacing w:after="0" w:line="240" w:lineRule="auto"/>
        <w:jc w:val="both"/>
        <w:rPr>
          <w:rFonts w:ascii="Times New Roman" w:eastAsia="Calibri" w:hAnsi="Times New Roman" w:cs="Times New Roman"/>
          <w:sz w:val="28"/>
          <w:szCs w:val="28"/>
          <w:lang w:eastAsia="uk-UA"/>
        </w:rPr>
      </w:pPr>
    </w:p>
    <w:p w:rsidR="001704A8" w:rsidRPr="001704A8" w:rsidRDefault="001704A8" w:rsidP="001704A8">
      <w:pPr>
        <w:spacing w:after="0" w:line="240" w:lineRule="auto"/>
        <w:jc w:val="both"/>
        <w:rPr>
          <w:rFonts w:ascii="Times New Roman" w:eastAsia="Calibri" w:hAnsi="Times New Roman" w:cs="Times New Roman"/>
          <w:sz w:val="28"/>
          <w:szCs w:val="28"/>
          <w:lang w:eastAsia="uk-UA"/>
        </w:rPr>
      </w:pPr>
      <w:r w:rsidRPr="001704A8">
        <w:rPr>
          <w:rFonts w:ascii="Times New Roman" w:eastAsia="Calibri" w:hAnsi="Times New Roman" w:cs="Times New Roman"/>
          <w:sz w:val="28"/>
          <w:szCs w:val="28"/>
          <w:lang w:eastAsia="uk-UA"/>
        </w:rPr>
        <w:t>Директор КНП «Центр ПМСД                                                     Валентин Ханенко</w:t>
      </w:r>
    </w:p>
    <w:p w:rsidR="001704A8" w:rsidRPr="001704A8" w:rsidRDefault="001704A8" w:rsidP="001704A8">
      <w:pPr>
        <w:spacing w:after="0" w:line="240" w:lineRule="auto"/>
        <w:jc w:val="both"/>
        <w:rPr>
          <w:rFonts w:ascii="Times New Roman" w:eastAsia="Calibri" w:hAnsi="Times New Roman" w:cs="Times New Roman"/>
          <w:sz w:val="28"/>
          <w:szCs w:val="28"/>
        </w:rPr>
      </w:pPr>
      <w:r w:rsidRPr="001704A8">
        <w:rPr>
          <w:rFonts w:ascii="Times New Roman" w:eastAsia="Calibri" w:hAnsi="Times New Roman" w:cs="Times New Roman"/>
          <w:sz w:val="28"/>
          <w:szCs w:val="28"/>
          <w:lang w:eastAsia="uk-UA"/>
        </w:rPr>
        <w:t xml:space="preserve">«Медичний простір» </w:t>
      </w:r>
    </w:p>
    <w:p w:rsidR="001704A8" w:rsidRPr="001704A8" w:rsidRDefault="001704A8" w:rsidP="001704A8">
      <w:pPr>
        <w:rPr>
          <w:rFonts w:ascii="Times New Roman" w:eastAsia="Times New Roman" w:hAnsi="Times New Roman" w:cs="Times New Roman"/>
          <w:sz w:val="28"/>
          <w:szCs w:val="28"/>
          <w:lang w:eastAsia="uk-UA"/>
        </w:rPr>
      </w:pPr>
    </w:p>
    <w:p w:rsidR="00287371" w:rsidRDefault="00287371">
      <w:bookmarkStart w:id="0" w:name="_GoBack"/>
      <w:bookmarkEnd w:id="0"/>
    </w:p>
    <w:sectPr w:rsidR="00287371" w:rsidSect="00AB34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A8"/>
    <w:rsid w:val="000C3858"/>
    <w:rsid w:val="001704A8"/>
    <w:rsid w:val="001F15C3"/>
    <w:rsid w:val="00237993"/>
    <w:rsid w:val="00287371"/>
    <w:rsid w:val="00353EDC"/>
    <w:rsid w:val="009235BB"/>
    <w:rsid w:val="00984E23"/>
    <w:rsid w:val="00AB348D"/>
    <w:rsid w:val="00ED5D02"/>
    <w:rsid w:val="00FA5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CB8E4-911D-4A01-BC6E-548C5D36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fontTable" Target="fontTable.xml"/><Relationship Id="rId5" Type="http://schemas.openxmlformats.org/officeDocument/2006/relationships/chart" Target="charts/chart2.xml"/><Relationship Id="rId10" Type="http://schemas.openxmlformats.org/officeDocument/2006/relationships/chart" Target="charts/chart7.xml"/><Relationship Id="rId4" Type="http://schemas.openxmlformats.org/officeDocument/2006/relationships/chart" Target="charts/chart1.xml"/><Relationship Id="rId9"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6"/>
                <c:pt idx="0">
                  <c:v>Хвороби органів дихання</c:v>
                </c:pt>
                <c:pt idx="1">
                  <c:v>Хвороби ендокринної сиситеми</c:v>
                </c:pt>
                <c:pt idx="2">
                  <c:v>Хвороби органів травлення</c:v>
                </c:pt>
                <c:pt idx="3">
                  <c:v>Хвороби системи кровообігу</c:v>
                </c:pt>
                <c:pt idx="4">
                  <c:v>Інфекційні та паразитарні захворювання</c:v>
                </c:pt>
                <c:pt idx="5">
                  <c:v>Хвороби шкіри</c:v>
                </c:pt>
              </c:strCache>
            </c:strRef>
          </c:cat>
          <c:val>
            <c:numRef>
              <c:f>Лист1!$B$2:$B$7</c:f>
              <c:numCache>
                <c:formatCode>General</c:formatCode>
                <c:ptCount val="6"/>
                <c:pt idx="0">
                  <c:v>1933</c:v>
                </c:pt>
                <c:pt idx="1">
                  <c:v>155</c:v>
                </c:pt>
                <c:pt idx="2">
                  <c:v>124</c:v>
                </c:pt>
                <c:pt idx="3">
                  <c:v>118</c:v>
                </c:pt>
                <c:pt idx="4">
                  <c:v>118</c:v>
                </c:pt>
                <c:pt idx="5">
                  <c:v>103</c:v>
                </c:pt>
              </c:numCache>
            </c:numRef>
          </c:val>
          <c:extLst>
            <c:ext xmlns:c16="http://schemas.microsoft.com/office/drawing/2014/chart" uri="{C3380CC4-5D6E-409C-BE32-E72D297353CC}">
              <c16:uniqueId val="{00000000-6CD0-4B3B-AA9C-72B46E578A44}"/>
            </c:ext>
          </c:extLst>
        </c:ser>
        <c:dLbls>
          <c:showLegendKey val="0"/>
          <c:showVal val="0"/>
          <c:showCatName val="0"/>
          <c:showSerName val="0"/>
          <c:showPercent val="1"/>
          <c:showBubbleSize val="0"/>
          <c:showLeaderLines val="0"/>
        </c:dLbls>
        <c:firstSliceAng val="0"/>
      </c:pieChart>
      <c:spPr>
        <a:noFill/>
        <a:ln w="25383">
          <a:noFill/>
        </a:ln>
      </c:spPr>
    </c:plotArea>
    <c:legend>
      <c:legendPos val="r"/>
      <c:layout>
        <c:manualLayout>
          <c:xMode val="edge"/>
          <c:yMode val="edge"/>
          <c:x val="0.59356928832985556"/>
          <c:y val="2.4568980994639437E-2"/>
          <c:w val="0.39435757482438938"/>
          <c:h val="0.95534640201224852"/>
        </c:manualLayout>
      </c:layout>
      <c:overlay val="0"/>
    </c:legend>
    <c:plotVisOnly val="1"/>
    <c:dispBlanksAs val="zero"/>
    <c:showDLblsOverMax val="0"/>
  </c:chart>
  <c:txPr>
    <a:bodyPr/>
    <a:lstStyle/>
    <a:p>
      <a:pPr>
        <a:defRPr sz="1199"/>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Lbls>
            <c:spPr>
              <a:noFill/>
              <a:ln>
                <a:noFill/>
              </a:ln>
              <a:effectLst/>
            </c:spPr>
            <c:txPr>
              <a:bodyPr/>
              <a:lstStyle/>
              <a:p>
                <a:pPr>
                  <a:defRPr sz="1200">
                    <a:latin typeface="+mn-lt"/>
                    <a:cs typeface="Times New Roman" pitchFamily="18" charset="0"/>
                  </a:defRPr>
                </a:pPr>
                <a:endParaRPr lang="uk-UA"/>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6"/>
                <c:pt idx="0">
                  <c:v>Хвороби органів дихання</c:v>
                </c:pt>
                <c:pt idx="1">
                  <c:v>Інфекційні та паразитарні захворювання</c:v>
                </c:pt>
                <c:pt idx="2">
                  <c:v>Хвороби вуха</c:v>
                </c:pt>
                <c:pt idx="3">
                  <c:v>Хвороби шкіри</c:v>
                </c:pt>
                <c:pt idx="4">
                  <c:v>Хвороби органів травлення</c:v>
                </c:pt>
                <c:pt idx="5">
                  <c:v>Хвороби ока</c:v>
                </c:pt>
              </c:strCache>
            </c:strRef>
          </c:cat>
          <c:val>
            <c:numRef>
              <c:f>Лист1!$B$2:$B$7</c:f>
              <c:numCache>
                <c:formatCode>General</c:formatCode>
                <c:ptCount val="6"/>
                <c:pt idx="0">
                  <c:v>985</c:v>
                </c:pt>
                <c:pt idx="1">
                  <c:v>62</c:v>
                </c:pt>
                <c:pt idx="2">
                  <c:v>49</c:v>
                </c:pt>
                <c:pt idx="3">
                  <c:v>34</c:v>
                </c:pt>
                <c:pt idx="4">
                  <c:v>29</c:v>
                </c:pt>
                <c:pt idx="5">
                  <c:v>103</c:v>
                </c:pt>
              </c:numCache>
            </c:numRef>
          </c:val>
          <c:extLst>
            <c:ext xmlns:c16="http://schemas.microsoft.com/office/drawing/2014/chart" uri="{C3380CC4-5D6E-409C-BE32-E72D297353CC}">
              <c16:uniqueId val="{00000000-B5FF-4CEF-9099-FAE63A45EAC8}"/>
            </c:ext>
          </c:extLst>
        </c:ser>
        <c:dLbls>
          <c:showLegendKey val="0"/>
          <c:showVal val="0"/>
          <c:showCatName val="0"/>
          <c:showSerName val="0"/>
          <c:showPercent val="1"/>
          <c:showBubbleSize val="0"/>
          <c:showLeaderLines val="0"/>
        </c:dLbls>
        <c:firstSliceAng val="0"/>
      </c:pieChart>
      <c:spPr>
        <a:noFill/>
        <a:ln w="25393">
          <a:noFill/>
        </a:ln>
      </c:spPr>
    </c:plotArea>
    <c:legend>
      <c:legendPos val="r"/>
      <c:layout>
        <c:manualLayout>
          <c:xMode val="edge"/>
          <c:yMode val="edge"/>
          <c:x val="0.57223062399630786"/>
          <c:y val="3.2283069285014253E-2"/>
          <c:w val="0.42516056964782173"/>
          <c:h val="0.94369248648135862"/>
        </c:manualLayout>
      </c:layout>
      <c:overlay val="0"/>
      <c:txPr>
        <a:bodyPr/>
        <a:lstStyle/>
        <a:p>
          <a:pPr>
            <a:defRPr sz="1200"/>
          </a:pPr>
          <a:endParaRPr lang="uk-UA"/>
        </a:p>
      </c:txPr>
    </c:legend>
    <c:plotVisOnly val="1"/>
    <c:dispBlanksAs val="zero"/>
    <c:showDLblsOverMax val="0"/>
  </c:chart>
  <c:txPr>
    <a:bodyPr/>
    <a:lstStyle/>
    <a:p>
      <a:pPr>
        <a:defRPr sz="1800"/>
      </a:pPr>
      <a:endParaRPr lang="uk-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Захворюваність Городоцька ОТГ</c:v>
                </c:pt>
              </c:strCache>
            </c:strRef>
          </c:tx>
          <c:invertIfNegative val="0"/>
          <c:dLbls>
            <c:spPr>
              <a:noFill/>
              <a:ln w="25393">
                <a:noFill/>
              </a:ln>
            </c:spPr>
            <c:txPr>
              <a:bodyPr wrap="square" lIns="38100" tIns="19050" rIns="38100" bIns="19050" anchor="ctr">
                <a:spAutoFit/>
              </a:bodyPr>
              <a:lstStyle/>
              <a:p>
                <a:pPr>
                  <a:defRPr lang="ru-RU" sz="1200" b="1">
                    <a:solidFill>
                      <a:sysClr val="windowText" lastClr="000000"/>
                    </a:solidFil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0.30000000000000032</c:v>
                </c:pt>
                <c:pt idx="1">
                  <c:v>0.5</c:v>
                </c:pt>
              </c:numCache>
            </c:numRef>
          </c:val>
          <c:extLst>
            <c:ext xmlns:c16="http://schemas.microsoft.com/office/drawing/2014/chart" uri="{C3380CC4-5D6E-409C-BE32-E72D297353CC}">
              <c16:uniqueId val="{00000000-B6DE-458A-9581-9CCB88FFC52D}"/>
            </c:ext>
          </c:extLst>
        </c:ser>
        <c:ser>
          <c:idx val="1"/>
          <c:order val="1"/>
          <c:tx>
            <c:strRef>
              <c:f>Лист1!$C$1</c:f>
              <c:strCache>
                <c:ptCount val="1"/>
                <c:pt idx="0">
                  <c:v>Захворюваність Медичний простір</c:v>
                </c:pt>
              </c:strCache>
            </c:strRef>
          </c:tx>
          <c:invertIfNegative val="0"/>
          <c:dLbls>
            <c:spPr>
              <a:noFill/>
              <a:ln w="25393">
                <a:noFill/>
              </a:ln>
            </c:spPr>
            <c:txPr>
              <a:bodyPr wrap="square" lIns="38100" tIns="19050" rIns="38100" bIns="19050" anchor="ctr">
                <a:spAutoFit/>
              </a:bodyPr>
              <a:lstStyle/>
              <a:p>
                <a:pPr>
                  <a:defRPr lang="ru-RU" sz="1200" b="1">
                    <a:solidFill>
                      <a:sysClr val="windowText" lastClr="000000"/>
                    </a:solidFil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0.5</c:v>
                </c:pt>
                <c:pt idx="1">
                  <c:v>0.60000000000000064</c:v>
                </c:pt>
              </c:numCache>
            </c:numRef>
          </c:val>
          <c:extLst>
            <c:ext xmlns:c16="http://schemas.microsoft.com/office/drawing/2014/chart" uri="{C3380CC4-5D6E-409C-BE32-E72D297353CC}">
              <c16:uniqueId val="{00000001-B6DE-458A-9581-9CCB88FFC52D}"/>
            </c:ext>
          </c:extLst>
        </c:ser>
        <c:dLbls>
          <c:showLegendKey val="0"/>
          <c:showVal val="1"/>
          <c:showCatName val="0"/>
          <c:showSerName val="0"/>
          <c:showPercent val="0"/>
          <c:showBubbleSize val="0"/>
        </c:dLbls>
        <c:gapWidth val="75"/>
        <c:axId val="152326912"/>
        <c:axId val="152328448"/>
      </c:barChart>
      <c:catAx>
        <c:axId val="152326912"/>
        <c:scaling>
          <c:orientation val="minMax"/>
        </c:scaling>
        <c:delete val="0"/>
        <c:axPos val="b"/>
        <c:numFmt formatCode="General" sourceLinked="0"/>
        <c:majorTickMark val="none"/>
        <c:minorTickMark val="none"/>
        <c:tickLblPos val="nextTo"/>
        <c:txPr>
          <a:bodyPr/>
          <a:lstStyle/>
          <a:p>
            <a:pPr>
              <a:defRPr lang="ru-RU" sz="1000" b="1">
                <a:solidFill>
                  <a:sysClr val="windowText" lastClr="000000"/>
                </a:solidFill>
              </a:defRPr>
            </a:pPr>
            <a:endParaRPr lang="uk-UA"/>
          </a:p>
        </c:txPr>
        <c:crossAx val="152328448"/>
        <c:crosses val="autoZero"/>
        <c:auto val="1"/>
        <c:lblAlgn val="ctr"/>
        <c:lblOffset val="100"/>
        <c:noMultiLvlLbl val="0"/>
      </c:catAx>
      <c:valAx>
        <c:axId val="152328448"/>
        <c:scaling>
          <c:orientation val="minMax"/>
        </c:scaling>
        <c:delete val="0"/>
        <c:axPos val="l"/>
        <c:numFmt formatCode="General" sourceLinked="1"/>
        <c:majorTickMark val="none"/>
        <c:minorTickMark val="none"/>
        <c:tickLblPos val="nextTo"/>
        <c:txPr>
          <a:bodyPr/>
          <a:lstStyle/>
          <a:p>
            <a:pPr>
              <a:defRPr lang="ru-RU" sz="800" b="1">
                <a:solidFill>
                  <a:sysClr val="windowText" lastClr="000000"/>
                </a:solidFill>
              </a:defRPr>
            </a:pPr>
            <a:endParaRPr lang="uk-UA"/>
          </a:p>
        </c:txPr>
        <c:crossAx val="152326912"/>
        <c:crosses val="autoZero"/>
        <c:crossBetween val="between"/>
      </c:valAx>
    </c:plotArea>
    <c:legend>
      <c:legendPos val="b"/>
      <c:legendEntry>
        <c:idx val="0"/>
        <c:txPr>
          <a:bodyPr/>
          <a:lstStyle/>
          <a:p>
            <a:pPr>
              <a:defRPr lang="ru-RU" sz="1400" b="0">
                <a:solidFill>
                  <a:sysClr val="windowText" lastClr="000000"/>
                </a:solidFill>
                <a:latin typeface="Times New Roman" pitchFamily="18" charset="0"/>
                <a:cs typeface="Times New Roman" pitchFamily="18" charset="0"/>
              </a:defRPr>
            </a:pPr>
            <a:endParaRPr lang="uk-UA"/>
          </a:p>
        </c:txPr>
      </c:legendEntry>
      <c:legendEntry>
        <c:idx val="1"/>
        <c:txPr>
          <a:bodyPr/>
          <a:lstStyle/>
          <a:p>
            <a:pPr>
              <a:defRPr lang="ru-RU" sz="1400" b="0">
                <a:solidFill>
                  <a:sysClr val="windowText" lastClr="000000"/>
                </a:solidFill>
                <a:latin typeface="Times New Roman" pitchFamily="18" charset="0"/>
                <a:cs typeface="Times New Roman" pitchFamily="18" charset="0"/>
              </a:defRPr>
            </a:pPr>
            <a:endParaRPr lang="uk-UA"/>
          </a:p>
        </c:txPr>
      </c:legendEntry>
      <c:overlay val="0"/>
      <c:txPr>
        <a:bodyPr/>
        <a:lstStyle/>
        <a:p>
          <a:pPr>
            <a:defRPr lang="ru-RU" sz="1400" b="0">
              <a:solidFill>
                <a:schemeClr val="bg1"/>
              </a:solidFill>
              <a:latin typeface="Times New Roman" pitchFamily="18" charset="0"/>
              <a:cs typeface="Times New Roman" pitchFamily="18" charset="0"/>
            </a:defRPr>
          </a:pPr>
          <a:endParaRPr lang="uk-UA"/>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9192835065804712E-2"/>
          <c:y val="5.9486123522568483E-2"/>
          <c:w val="0.78121465733108264"/>
          <c:h val="0.6633521050768012"/>
        </c:manualLayout>
      </c:layout>
      <c:barChart>
        <c:barDir val="col"/>
        <c:grouping val="clustered"/>
        <c:varyColors val="0"/>
        <c:ser>
          <c:idx val="0"/>
          <c:order val="0"/>
          <c:tx>
            <c:strRef>
              <c:f>Лист1!$B$1</c:f>
              <c:strCache>
                <c:ptCount val="1"/>
                <c:pt idx="0">
                  <c:v>Захворюваність Городоцька ОТГ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0.1</c:v>
                </c:pt>
                <c:pt idx="1">
                  <c:v>0.5</c:v>
                </c:pt>
              </c:numCache>
            </c:numRef>
          </c:val>
          <c:extLst>
            <c:ext xmlns:c16="http://schemas.microsoft.com/office/drawing/2014/chart" uri="{C3380CC4-5D6E-409C-BE32-E72D297353CC}">
              <c16:uniqueId val="{00000000-74AF-478B-8EDC-69810C7CE7BC}"/>
            </c:ext>
          </c:extLst>
        </c:ser>
        <c:ser>
          <c:idx val="1"/>
          <c:order val="1"/>
          <c:tx>
            <c:strRef>
              <c:f>Лист1!$C$1</c:f>
              <c:strCache>
                <c:ptCount val="1"/>
                <c:pt idx="0">
                  <c:v>Захворюваність Медичний простір</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0.1</c:v>
                </c:pt>
                <c:pt idx="1">
                  <c:v>0.2</c:v>
                </c:pt>
              </c:numCache>
            </c:numRef>
          </c:val>
          <c:extLst>
            <c:ext xmlns:c16="http://schemas.microsoft.com/office/drawing/2014/chart" uri="{C3380CC4-5D6E-409C-BE32-E72D297353CC}">
              <c16:uniqueId val="{00000001-74AF-478B-8EDC-69810C7CE7BC}"/>
            </c:ext>
          </c:extLst>
        </c:ser>
        <c:dLbls>
          <c:showLegendKey val="0"/>
          <c:showVal val="1"/>
          <c:showCatName val="0"/>
          <c:showSerName val="0"/>
          <c:showPercent val="0"/>
          <c:showBubbleSize val="0"/>
        </c:dLbls>
        <c:gapWidth val="75"/>
        <c:axId val="152358912"/>
        <c:axId val="152360448"/>
      </c:barChart>
      <c:catAx>
        <c:axId val="152358912"/>
        <c:scaling>
          <c:orientation val="minMax"/>
        </c:scaling>
        <c:delete val="0"/>
        <c:axPos val="b"/>
        <c:numFmt formatCode="General" sourceLinked="1"/>
        <c:majorTickMark val="none"/>
        <c:minorTickMark val="none"/>
        <c:tickLblPos val="nextTo"/>
        <c:crossAx val="152360448"/>
        <c:crosses val="autoZero"/>
        <c:auto val="1"/>
        <c:lblAlgn val="ctr"/>
        <c:lblOffset val="100"/>
        <c:noMultiLvlLbl val="0"/>
      </c:catAx>
      <c:valAx>
        <c:axId val="152360448"/>
        <c:scaling>
          <c:orientation val="minMax"/>
        </c:scaling>
        <c:delete val="0"/>
        <c:axPos val="l"/>
        <c:numFmt formatCode="General" sourceLinked="1"/>
        <c:majorTickMark val="none"/>
        <c:minorTickMark val="none"/>
        <c:tickLblPos val="nextTo"/>
        <c:crossAx val="152358912"/>
        <c:crosses val="autoZero"/>
        <c:crossBetween val="between"/>
      </c:valAx>
    </c:plotArea>
    <c:legend>
      <c:legendPos val="r"/>
      <c:layout>
        <c:manualLayout>
          <c:xMode val="edge"/>
          <c:yMode val="edge"/>
          <c:x val="3.4481788951355306E-2"/>
          <c:y val="0.82750961656652844"/>
          <c:w val="0.70871559633027803"/>
          <c:h val="0.13625397222961388"/>
        </c:manualLayout>
      </c:layout>
      <c:overlay val="0"/>
      <c:txPr>
        <a:bodyPr/>
        <a:lstStyle/>
        <a:p>
          <a:pPr>
            <a:defRPr sz="1400"/>
          </a:pPr>
          <a:endParaRPr lang="uk-UA"/>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Городоцька ОТГ</c:v>
                </c:pt>
              </c:strCache>
            </c:strRef>
          </c:tx>
          <c:invertIfNegative val="0"/>
          <c:dLbls>
            <c:spPr>
              <a:noFill/>
              <a:ln w="25395">
                <a:noFill/>
              </a:ln>
            </c:spPr>
            <c:txPr>
              <a:bodyPr wrap="square" lIns="38100" tIns="19050" rIns="38100" bIns="19050" anchor="ctr">
                <a:spAutoFit/>
              </a:bodyPr>
              <a:lstStyle/>
              <a:p>
                <a:pPr>
                  <a:defRPr lang="ru-RU" sz="1200" b="1">
                    <a:solidFill>
                      <a:sysClr val="windowText" lastClr="000000"/>
                    </a:solidFil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48.9</c:v>
                </c:pt>
                <c:pt idx="1">
                  <c:v>50.8</c:v>
                </c:pt>
              </c:numCache>
            </c:numRef>
          </c:val>
          <c:extLst>
            <c:ext xmlns:c16="http://schemas.microsoft.com/office/drawing/2014/chart" uri="{C3380CC4-5D6E-409C-BE32-E72D297353CC}">
              <c16:uniqueId val="{00000000-2A27-47BF-B44A-2F30724B00D7}"/>
            </c:ext>
          </c:extLst>
        </c:ser>
        <c:ser>
          <c:idx val="1"/>
          <c:order val="1"/>
          <c:tx>
            <c:strRef>
              <c:f>Лист1!$C$1</c:f>
              <c:strCache>
                <c:ptCount val="1"/>
                <c:pt idx="0">
                  <c:v>Медичний простір</c:v>
                </c:pt>
              </c:strCache>
            </c:strRef>
          </c:tx>
          <c:invertIfNegative val="0"/>
          <c:dLbls>
            <c:spPr>
              <a:noFill/>
              <a:ln w="25395">
                <a:noFill/>
              </a:ln>
            </c:spPr>
            <c:txPr>
              <a:bodyPr wrap="square" lIns="38100" tIns="19050" rIns="38100" bIns="19050" anchor="ctr">
                <a:spAutoFit/>
              </a:bodyPr>
              <a:lstStyle/>
              <a:p>
                <a:pPr>
                  <a:defRPr lang="ru-RU" sz="1200" b="1">
                    <a:solidFill>
                      <a:sysClr val="windowText" lastClr="000000"/>
                    </a:solidFil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43</c:v>
                </c:pt>
                <c:pt idx="1">
                  <c:v>46.6</c:v>
                </c:pt>
              </c:numCache>
            </c:numRef>
          </c:val>
          <c:extLst>
            <c:ext xmlns:c16="http://schemas.microsoft.com/office/drawing/2014/chart" uri="{C3380CC4-5D6E-409C-BE32-E72D297353CC}">
              <c16:uniqueId val="{00000001-2A27-47BF-B44A-2F30724B00D7}"/>
            </c:ext>
          </c:extLst>
        </c:ser>
        <c:dLbls>
          <c:showLegendKey val="0"/>
          <c:showVal val="1"/>
          <c:showCatName val="0"/>
          <c:showSerName val="0"/>
          <c:showPercent val="0"/>
          <c:showBubbleSize val="0"/>
        </c:dLbls>
        <c:gapWidth val="75"/>
        <c:axId val="152443136"/>
        <c:axId val="152469504"/>
      </c:barChart>
      <c:catAx>
        <c:axId val="152443136"/>
        <c:scaling>
          <c:orientation val="minMax"/>
        </c:scaling>
        <c:delete val="0"/>
        <c:axPos val="b"/>
        <c:numFmt formatCode="General" sourceLinked="1"/>
        <c:majorTickMark val="none"/>
        <c:minorTickMark val="none"/>
        <c:tickLblPos val="nextTo"/>
        <c:txPr>
          <a:bodyPr/>
          <a:lstStyle/>
          <a:p>
            <a:pPr>
              <a:defRPr lang="ru-RU" sz="1200" b="1">
                <a:solidFill>
                  <a:sysClr val="windowText" lastClr="000000"/>
                </a:solidFill>
              </a:defRPr>
            </a:pPr>
            <a:endParaRPr lang="uk-UA"/>
          </a:p>
        </c:txPr>
        <c:crossAx val="152469504"/>
        <c:crosses val="autoZero"/>
        <c:auto val="1"/>
        <c:lblAlgn val="ctr"/>
        <c:lblOffset val="100"/>
        <c:noMultiLvlLbl val="0"/>
      </c:catAx>
      <c:valAx>
        <c:axId val="152469504"/>
        <c:scaling>
          <c:orientation val="minMax"/>
        </c:scaling>
        <c:delete val="0"/>
        <c:axPos val="l"/>
        <c:numFmt formatCode="General" sourceLinked="1"/>
        <c:majorTickMark val="none"/>
        <c:minorTickMark val="none"/>
        <c:tickLblPos val="nextTo"/>
        <c:txPr>
          <a:bodyPr/>
          <a:lstStyle/>
          <a:p>
            <a:pPr>
              <a:defRPr lang="ru-RU" sz="1200" b="1">
                <a:solidFill>
                  <a:sysClr val="windowText" lastClr="000000"/>
                </a:solidFill>
              </a:defRPr>
            </a:pPr>
            <a:endParaRPr lang="uk-UA"/>
          </a:p>
        </c:txPr>
        <c:crossAx val="152443136"/>
        <c:crosses val="autoZero"/>
        <c:crossBetween val="between"/>
      </c:valAx>
    </c:plotArea>
    <c:legend>
      <c:legendPos val="r"/>
      <c:legendEntry>
        <c:idx val="0"/>
        <c:txPr>
          <a:bodyPr/>
          <a:lstStyle/>
          <a:p>
            <a:pPr>
              <a:defRPr lang="ru-RU" sz="900">
                <a:solidFill>
                  <a:sysClr val="windowText" lastClr="000000"/>
                </a:solidFill>
              </a:defRPr>
            </a:pPr>
            <a:endParaRPr lang="uk-UA"/>
          </a:p>
        </c:txPr>
      </c:legendEntry>
      <c:legendEntry>
        <c:idx val="1"/>
        <c:txPr>
          <a:bodyPr/>
          <a:lstStyle/>
          <a:p>
            <a:pPr>
              <a:defRPr lang="ru-RU" sz="900">
                <a:solidFill>
                  <a:sysClr val="windowText" lastClr="000000"/>
                </a:solidFill>
              </a:defRPr>
            </a:pPr>
            <a:endParaRPr lang="uk-UA"/>
          </a:p>
        </c:txPr>
      </c:legendEntry>
      <c:layout>
        <c:manualLayout>
          <c:xMode val="edge"/>
          <c:yMode val="edge"/>
          <c:x val="0.77385508756822108"/>
          <c:y val="0.28295618453098781"/>
          <c:w val="0.22035767222589117"/>
          <c:h val="0.3643550046109103"/>
        </c:manualLayout>
      </c:layout>
      <c:overlay val="0"/>
      <c:txPr>
        <a:bodyPr/>
        <a:lstStyle/>
        <a:p>
          <a:pPr>
            <a:defRPr lang="ru-RU" sz="900">
              <a:solidFill>
                <a:sysClr val="windowText" lastClr="000000"/>
              </a:solidFill>
            </a:defRPr>
          </a:pPr>
          <a:endParaRPr lang="uk-UA"/>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93901308757099E-2"/>
          <c:y val="5.3832542607212319E-2"/>
          <c:w val="0.71954088504126457"/>
          <c:h val="0.82052127738236691"/>
        </c:manualLayout>
      </c:layout>
      <c:barChart>
        <c:barDir val="col"/>
        <c:grouping val="clustered"/>
        <c:varyColors val="0"/>
        <c:ser>
          <c:idx val="0"/>
          <c:order val="0"/>
          <c:tx>
            <c:strRef>
              <c:f>Лист1!$B$1</c:f>
              <c:strCache>
                <c:ptCount val="1"/>
                <c:pt idx="0">
                  <c:v>Городоцька ОТГ</c:v>
                </c:pt>
              </c:strCache>
            </c:strRef>
          </c:tx>
          <c:invertIfNegative val="0"/>
          <c:dLbls>
            <c:spPr>
              <a:noFill/>
              <a:ln w="25397">
                <a:noFill/>
              </a:ln>
            </c:spPr>
            <c:txPr>
              <a:bodyPr wrap="square" lIns="38100" tIns="19050" rIns="38100" bIns="19050" anchor="ctr">
                <a:spAutoFit/>
              </a:bodyPr>
              <a:lstStyle/>
              <a:p>
                <a:pPr>
                  <a:defRPr lang="ru-RU" sz="1200" b="1">
                    <a:solidFill>
                      <a:sysClr val="windowText" lastClr="000000"/>
                    </a:solidFil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71.5</c:v>
                </c:pt>
                <c:pt idx="1">
                  <c:v>89.4</c:v>
                </c:pt>
              </c:numCache>
            </c:numRef>
          </c:val>
          <c:extLst>
            <c:ext xmlns:c16="http://schemas.microsoft.com/office/drawing/2014/chart" uri="{C3380CC4-5D6E-409C-BE32-E72D297353CC}">
              <c16:uniqueId val="{00000000-EC55-4C08-92F6-D212E4269575}"/>
            </c:ext>
          </c:extLst>
        </c:ser>
        <c:ser>
          <c:idx val="1"/>
          <c:order val="1"/>
          <c:tx>
            <c:strRef>
              <c:f>Лист1!$C$1</c:f>
              <c:strCache>
                <c:ptCount val="1"/>
                <c:pt idx="0">
                  <c:v>Медичний простір</c:v>
                </c:pt>
              </c:strCache>
            </c:strRef>
          </c:tx>
          <c:invertIfNegative val="0"/>
          <c:dLbls>
            <c:spPr>
              <a:noFill/>
              <a:ln w="25397">
                <a:noFill/>
              </a:ln>
            </c:spPr>
            <c:txPr>
              <a:bodyPr wrap="square" lIns="38100" tIns="19050" rIns="38100" bIns="19050" anchor="ctr">
                <a:spAutoFit/>
              </a:bodyPr>
              <a:lstStyle/>
              <a:p>
                <a:pPr>
                  <a:defRPr lang="ru-RU" sz="1200" b="1">
                    <a:solidFill>
                      <a:sysClr val="windowText" lastClr="000000"/>
                    </a:solidFil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29.2</c:v>
                </c:pt>
                <c:pt idx="1">
                  <c:v>27</c:v>
                </c:pt>
              </c:numCache>
            </c:numRef>
          </c:val>
          <c:extLst>
            <c:ext xmlns:c16="http://schemas.microsoft.com/office/drawing/2014/chart" uri="{C3380CC4-5D6E-409C-BE32-E72D297353CC}">
              <c16:uniqueId val="{00000001-EC55-4C08-92F6-D212E4269575}"/>
            </c:ext>
          </c:extLst>
        </c:ser>
        <c:dLbls>
          <c:showLegendKey val="0"/>
          <c:showVal val="1"/>
          <c:showCatName val="0"/>
          <c:showSerName val="0"/>
          <c:showPercent val="0"/>
          <c:showBubbleSize val="0"/>
        </c:dLbls>
        <c:gapWidth val="75"/>
        <c:axId val="152229376"/>
        <c:axId val="152230912"/>
      </c:barChart>
      <c:catAx>
        <c:axId val="152229376"/>
        <c:scaling>
          <c:orientation val="minMax"/>
        </c:scaling>
        <c:delete val="0"/>
        <c:axPos val="b"/>
        <c:numFmt formatCode="General" sourceLinked="1"/>
        <c:majorTickMark val="none"/>
        <c:minorTickMark val="none"/>
        <c:tickLblPos val="nextTo"/>
        <c:txPr>
          <a:bodyPr/>
          <a:lstStyle/>
          <a:p>
            <a:pPr>
              <a:defRPr lang="ru-RU" sz="1200" b="1">
                <a:solidFill>
                  <a:sysClr val="windowText" lastClr="000000"/>
                </a:solidFill>
              </a:defRPr>
            </a:pPr>
            <a:endParaRPr lang="uk-UA"/>
          </a:p>
        </c:txPr>
        <c:crossAx val="152230912"/>
        <c:crosses val="autoZero"/>
        <c:auto val="1"/>
        <c:lblAlgn val="ctr"/>
        <c:lblOffset val="100"/>
        <c:noMultiLvlLbl val="0"/>
      </c:catAx>
      <c:valAx>
        <c:axId val="152230912"/>
        <c:scaling>
          <c:orientation val="minMax"/>
        </c:scaling>
        <c:delete val="0"/>
        <c:axPos val="l"/>
        <c:numFmt formatCode="General" sourceLinked="1"/>
        <c:majorTickMark val="none"/>
        <c:minorTickMark val="none"/>
        <c:tickLblPos val="nextTo"/>
        <c:txPr>
          <a:bodyPr/>
          <a:lstStyle/>
          <a:p>
            <a:pPr>
              <a:defRPr lang="ru-RU" sz="1200" b="1">
                <a:solidFill>
                  <a:sysClr val="windowText" lastClr="000000"/>
                </a:solidFill>
              </a:defRPr>
            </a:pPr>
            <a:endParaRPr lang="uk-UA"/>
          </a:p>
        </c:txPr>
        <c:crossAx val="152229376"/>
        <c:crosses val="autoZero"/>
        <c:crossBetween val="between"/>
      </c:valAx>
    </c:plotArea>
    <c:legend>
      <c:legendPos val="r"/>
      <c:legendEntry>
        <c:idx val="0"/>
        <c:txPr>
          <a:bodyPr/>
          <a:lstStyle/>
          <a:p>
            <a:pPr>
              <a:defRPr lang="ru-RU" sz="900">
                <a:solidFill>
                  <a:sysClr val="windowText" lastClr="000000"/>
                </a:solidFill>
              </a:defRPr>
            </a:pPr>
            <a:endParaRPr lang="uk-UA"/>
          </a:p>
        </c:txPr>
      </c:legendEntry>
      <c:legendEntry>
        <c:idx val="1"/>
        <c:txPr>
          <a:bodyPr/>
          <a:lstStyle/>
          <a:p>
            <a:pPr>
              <a:defRPr lang="ru-RU" sz="900">
                <a:solidFill>
                  <a:sysClr val="windowText" lastClr="000000"/>
                </a:solidFill>
              </a:defRPr>
            </a:pPr>
            <a:endParaRPr lang="uk-UA"/>
          </a:p>
        </c:txPr>
      </c:legendEntry>
      <c:layout>
        <c:manualLayout>
          <c:xMode val="edge"/>
          <c:yMode val="edge"/>
          <c:x val="0.76896324143560668"/>
          <c:y val="0.21071856627224941"/>
          <c:w val="0.22514869369020871"/>
          <c:h val="0.39349821936158513"/>
        </c:manualLayout>
      </c:layout>
      <c:overlay val="0"/>
      <c:txPr>
        <a:bodyPr/>
        <a:lstStyle/>
        <a:p>
          <a:pPr>
            <a:defRPr lang="ru-RU" sz="900">
              <a:solidFill>
                <a:sysClr val="windowText" lastClr="000000"/>
              </a:solidFill>
            </a:defRPr>
          </a:pPr>
          <a:endParaRPr lang="uk-UA"/>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Консолідований бюджет</a:t>
            </a:r>
          </a:p>
        </c:rich>
      </c:tx>
      <c:layout>
        <c:manualLayout>
          <c:xMode val="edge"/>
          <c:yMode val="edge"/>
          <c:x val="0.4391556127267896"/>
          <c:y val="3.9308176100628936E-2"/>
        </c:manualLayout>
      </c:layout>
      <c:overlay val="0"/>
    </c:title>
    <c:autoTitleDeleted val="0"/>
    <c:plotArea>
      <c:layout>
        <c:manualLayout>
          <c:layoutTarget val="inner"/>
          <c:xMode val="edge"/>
          <c:yMode val="edge"/>
          <c:x val="0.16771490948651141"/>
          <c:y val="0.1385899558498897"/>
          <c:w val="0.35626681684500439"/>
          <c:h val="0.78552704194260214"/>
        </c:manualLayout>
      </c:layout>
      <c:pieChart>
        <c:varyColors val="1"/>
        <c:ser>
          <c:idx val="0"/>
          <c:order val="0"/>
          <c:tx>
            <c:strRef>
              <c:f>Лист1!$B$1</c:f>
              <c:strCache>
                <c:ptCount val="1"/>
                <c:pt idx="0">
                  <c:v>Консолідований бюджет</c:v>
                </c:pt>
              </c:strCache>
            </c:strRef>
          </c:tx>
          <c:explosion val="25"/>
          <c:dPt>
            <c:idx val="1"/>
            <c:bubble3D val="0"/>
            <c:explosion val="0"/>
            <c:extLst>
              <c:ext xmlns:c16="http://schemas.microsoft.com/office/drawing/2014/chart" uri="{C3380CC4-5D6E-409C-BE32-E72D297353CC}">
                <c16:uniqueId val="{00000001-602C-497A-AFA3-9EDFD983831D}"/>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Кошти НСЗУ </c:v>
                </c:pt>
                <c:pt idx="1">
                  <c:v>Кошти ОТГ </c:v>
                </c:pt>
                <c:pt idx="2">
                  <c:v>Зароблені кошти  </c:v>
                </c:pt>
              </c:strCache>
            </c:strRef>
          </c:cat>
          <c:val>
            <c:numRef>
              <c:f>Лист1!$B$2:$B$4</c:f>
              <c:numCache>
                <c:formatCode>General</c:formatCode>
                <c:ptCount val="3"/>
                <c:pt idx="0">
                  <c:v>78.599999999999994</c:v>
                </c:pt>
                <c:pt idx="1">
                  <c:v>19.8</c:v>
                </c:pt>
                <c:pt idx="2">
                  <c:v>1.6</c:v>
                </c:pt>
              </c:numCache>
            </c:numRef>
          </c:val>
          <c:extLst>
            <c:ext xmlns:c16="http://schemas.microsoft.com/office/drawing/2014/chart" uri="{C3380CC4-5D6E-409C-BE32-E72D297353CC}">
              <c16:uniqueId val="{00000002-602C-497A-AFA3-9EDFD983831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5</Pages>
  <Words>2959</Words>
  <Characters>1688</Characters>
  <Application>Microsoft Office Word</Application>
  <DocSecurity>0</DocSecurity>
  <Lines>14</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Шеремета</dc:creator>
  <cp:keywords/>
  <dc:description/>
  <cp:lastModifiedBy>Сергій Шеремета</cp:lastModifiedBy>
  <cp:revision>1</cp:revision>
  <dcterms:created xsi:type="dcterms:W3CDTF">2024-10-01T05:14:00Z</dcterms:created>
  <dcterms:modified xsi:type="dcterms:W3CDTF">2024-10-01T05:15:00Z</dcterms:modified>
</cp:coreProperties>
</file>