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FF" w:rsidRPr="005D70FF" w:rsidRDefault="005D70FF" w:rsidP="005D70FF">
      <w:pPr>
        <w:spacing w:after="0" w:line="240" w:lineRule="auto"/>
        <w:ind w:left="5812" w:right="-1"/>
        <w:jc w:val="both"/>
        <w:rPr>
          <w:rFonts w:ascii="Times New Roman" w:eastAsia="Times New Roman" w:hAnsi="Times New Roman" w:cs="Times New Roman"/>
          <w:sz w:val="28"/>
          <w:szCs w:val="28"/>
          <w:lang w:eastAsia="ru-RU"/>
        </w:rPr>
      </w:pPr>
      <w:r w:rsidRPr="005D70FF">
        <w:rPr>
          <w:rFonts w:ascii="Times New Roman" w:eastAsia="Times New Roman" w:hAnsi="Times New Roman" w:cs="Times New Roman"/>
          <w:sz w:val="28"/>
          <w:szCs w:val="28"/>
          <w:lang w:eastAsia="ru-RU"/>
        </w:rPr>
        <w:t>Додаток</w:t>
      </w:r>
    </w:p>
    <w:p w:rsidR="005D70FF" w:rsidRPr="005D70FF" w:rsidRDefault="005D70FF" w:rsidP="005D70FF">
      <w:pPr>
        <w:spacing w:after="0" w:line="240" w:lineRule="auto"/>
        <w:ind w:left="5812" w:right="-1"/>
        <w:jc w:val="both"/>
        <w:rPr>
          <w:rFonts w:ascii="Times New Roman" w:eastAsia="Times New Roman" w:hAnsi="Times New Roman" w:cs="Times New Roman"/>
          <w:spacing w:val="-4"/>
          <w:sz w:val="28"/>
          <w:szCs w:val="28"/>
          <w:lang w:eastAsia="ru-RU"/>
        </w:rPr>
      </w:pPr>
      <w:r w:rsidRPr="005D70FF">
        <w:rPr>
          <w:rFonts w:ascii="Times New Roman" w:eastAsia="Times New Roman" w:hAnsi="Times New Roman" w:cs="Times New Roman"/>
          <w:spacing w:val="-6"/>
          <w:sz w:val="28"/>
          <w:szCs w:val="28"/>
          <w:lang w:eastAsia="ru-RU"/>
        </w:rPr>
        <w:t xml:space="preserve">до рішення Городоцької сільської </w:t>
      </w:r>
      <w:r w:rsidRPr="005D70FF">
        <w:rPr>
          <w:rFonts w:ascii="Times New Roman" w:eastAsia="Times New Roman" w:hAnsi="Times New Roman" w:cs="Times New Roman"/>
          <w:spacing w:val="-4"/>
          <w:sz w:val="28"/>
          <w:szCs w:val="28"/>
          <w:lang w:eastAsia="ru-RU"/>
        </w:rPr>
        <w:t>ради</w:t>
      </w:r>
    </w:p>
    <w:p w:rsidR="005D70FF" w:rsidRPr="005D70FF" w:rsidRDefault="005D70FF" w:rsidP="005D70FF">
      <w:pPr>
        <w:spacing w:after="0" w:line="240" w:lineRule="auto"/>
        <w:ind w:left="5812" w:right="-1"/>
        <w:jc w:val="both"/>
        <w:rPr>
          <w:rFonts w:ascii="Times New Roman" w:eastAsia="Times New Roman" w:hAnsi="Times New Roman" w:cs="Times New Roman"/>
          <w:sz w:val="28"/>
          <w:szCs w:val="28"/>
          <w:lang w:eastAsia="ru-RU"/>
        </w:rPr>
      </w:pPr>
      <w:r w:rsidRPr="005D70FF">
        <w:rPr>
          <w:rFonts w:ascii="Times New Roman" w:eastAsia="Times New Roman" w:hAnsi="Times New Roman" w:cs="Times New Roman"/>
          <w:sz w:val="28"/>
          <w:szCs w:val="28"/>
          <w:lang w:eastAsia="ru-RU"/>
        </w:rPr>
        <w:t xml:space="preserve">26.06.2024 </w:t>
      </w:r>
      <w:r w:rsidRPr="005D70FF">
        <w:rPr>
          <w:rFonts w:ascii="Times New Roman" w:eastAsia="Times New Roman" w:hAnsi="Times New Roman" w:cs="Times New Roman"/>
          <w:spacing w:val="-6"/>
          <w:sz w:val="28"/>
          <w:szCs w:val="28"/>
          <w:lang w:eastAsia="ru-RU"/>
        </w:rPr>
        <w:t>№1673</w:t>
      </w:r>
    </w:p>
    <w:p w:rsidR="005D70FF" w:rsidRPr="005D70FF" w:rsidRDefault="005D70FF" w:rsidP="005D70FF">
      <w:pPr>
        <w:spacing w:after="0" w:line="240" w:lineRule="auto"/>
        <w:ind w:right="-1"/>
        <w:jc w:val="center"/>
        <w:rPr>
          <w:rFonts w:ascii="Times New Roman" w:eastAsia="Times New Roman" w:hAnsi="Times New Roman" w:cs="Times New Roman"/>
          <w:sz w:val="28"/>
          <w:szCs w:val="28"/>
          <w:lang w:eastAsia="ru-RU"/>
        </w:rPr>
      </w:pPr>
    </w:p>
    <w:p w:rsidR="005D70FF" w:rsidRPr="005D70FF" w:rsidRDefault="005D70FF" w:rsidP="005D70FF">
      <w:pPr>
        <w:spacing w:after="0" w:line="240" w:lineRule="auto"/>
        <w:ind w:right="-1"/>
        <w:jc w:val="center"/>
        <w:rPr>
          <w:rFonts w:ascii="Times New Roman" w:eastAsia="Times New Roman" w:hAnsi="Times New Roman" w:cs="Times New Roman"/>
          <w:sz w:val="28"/>
          <w:szCs w:val="28"/>
          <w:lang w:eastAsia="ru-RU"/>
        </w:rPr>
      </w:pPr>
      <w:r w:rsidRPr="005D70FF">
        <w:rPr>
          <w:rFonts w:ascii="Times New Roman" w:eastAsia="Times New Roman" w:hAnsi="Times New Roman" w:cs="Times New Roman"/>
          <w:sz w:val="28"/>
          <w:szCs w:val="28"/>
          <w:lang w:eastAsia="ru-RU"/>
        </w:rPr>
        <w:t>Інформація</w:t>
      </w:r>
    </w:p>
    <w:p w:rsidR="005D70FF" w:rsidRPr="005D70FF" w:rsidRDefault="005D70FF" w:rsidP="005D70FF">
      <w:pPr>
        <w:spacing w:after="0" w:line="240" w:lineRule="auto"/>
        <w:jc w:val="center"/>
        <w:rPr>
          <w:rFonts w:ascii="Times New Roman" w:eastAsia="Times New Roman" w:hAnsi="Times New Roman" w:cs="Times New Roman"/>
          <w:sz w:val="28"/>
          <w:szCs w:val="28"/>
          <w:lang w:eastAsia="ru-RU"/>
        </w:rPr>
      </w:pPr>
      <w:r w:rsidRPr="005D70FF">
        <w:rPr>
          <w:rFonts w:ascii="Times New Roman" w:eastAsia="Times New Roman" w:hAnsi="Times New Roman" w:cs="Times New Roman"/>
          <w:sz w:val="28"/>
          <w:szCs w:val="28"/>
          <w:lang w:eastAsia="ru-RU"/>
        </w:rPr>
        <w:t>про хід виконання соціальної програми запобігання та протидії домашньому насильству та насильству за ознакою статі на період до 2025 року</w:t>
      </w:r>
    </w:p>
    <w:p w:rsidR="005D70FF" w:rsidRPr="005D70FF" w:rsidRDefault="005D70FF" w:rsidP="005D70FF">
      <w:pPr>
        <w:spacing w:after="0" w:line="240" w:lineRule="auto"/>
        <w:jc w:val="both"/>
        <w:rPr>
          <w:rFonts w:ascii="Times New Roman" w:eastAsia="Times New Roman" w:hAnsi="Times New Roman" w:cs="Times New Roman"/>
          <w:sz w:val="28"/>
          <w:szCs w:val="28"/>
          <w:shd w:val="clear" w:color="auto" w:fill="FFFFFF"/>
          <w:lang w:eastAsia="ru-RU"/>
        </w:rPr>
      </w:pP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Рішенням Городоцької сільської ради від 14 липня 2021 року №594 було затверджено соціальну програму запобігання та протидії домашньому насильству та насильству за ознакою статі на період до 2025 року (далі Програма).</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Програма розроблена і впроваджена з метою запобігання та протидії домашньому насильству за ознакою статі, зокрема шляхом підвищення ефективності виявлення осіб, які вчиняють такі злочини, або сприяють їх вчиненню, а також захисту прав осіб, особливо дітей, та надання їм допомоги.</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Розпорядженням сільського голови від 24.03.2021 № 18 призначено посадову особу відповідальну за координацію заходів у сфері запобігання та протидії домашньому насильству.</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 xml:space="preserve">Рішенням виконавчого комітету від 30.03.2021 № 42 (зі змінами) утворено координаційну раду з питань сім’ї, гендерної рівності, демографічного розвитку, запобігання та протидії домашньому насильству, насильству за ознакою статті та торгівлі людьми. </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Протягом 2023 року проведено 2 засідання координаційної ради.</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Кошторисом Програми на реалізацію передбачених заходів на 2023 рік заплановано 1,5 тис. грн. Фактично витрачено – 0 тис. грн.</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 xml:space="preserve">У зв’язку з впровадженням у державі воєнного стану заходи даної Програми не фінансувались. </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Продовжити виконання заходів Програми запобігання та протидії домашньому насильству та насильству за ознакою статті на період до 2025 року.</w:t>
      </w:r>
    </w:p>
    <w:p w:rsidR="005D70FF" w:rsidRPr="005D70FF" w:rsidRDefault="005D70FF" w:rsidP="005D70F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D70FF">
        <w:rPr>
          <w:rFonts w:ascii="Times New Roman" w:eastAsia="Times New Roman" w:hAnsi="Times New Roman" w:cs="Times New Roman"/>
          <w:sz w:val="28"/>
          <w:szCs w:val="28"/>
          <w:shd w:val="clear" w:color="auto" w:fill="FFFFFF"/>
          <w:lang w:eastAsia="ru-RU"/>
        </w:rPr>
        <w:t>Інформація по заходах щодо виконання Програми запобігання та протидія домашньому насильству та насильству за ознакою статті наведена у таблиці, що додається.</w:t>
      </w:r>
    </w:p>
    <w:p w:rsidR="005D70FF" w:rsidRPr="005D70FF" w:rsidRDefault="005D70FF" w:rsidP="005D70FF">
      <w:pPr>
        <w:spacing w:after="0" w:line="240" w:lineRule="auto"/>
        <w:jc w:val="both"/>
        <w:rPr>
          <w:rFonts w:ascii="Times New Roman" w:eastAsia="Times New Roman" w:hAnsi="Times New Roman" w:cs="Times New Roman"/>
          <w:b/>
          <w:sz w:val="28"/>
          <w:szCs w:val="28"/>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717"/>
        <w:gridCol w:w="3133"/>
        <w:gridCol w:w="3778"/>
      </w:tblGrid>
      <w:tr w:rsidR="005D70FF" w:rsidRPr="005D70FF" w:rsidTr="00EC3DE1">
        <w:trPr>
          <w:trHeight w:val="356"/>
        </w:trPr>
        <w:tc>
          <w:tcPr>
            <w:tcW w:w="1411" w:type="pct"/>
          </w:tcPr>
          <w:p w:rsidR="005D70FF" w:rsidRPr="005D70FF" w:rsidRDefault="005D70FF" w:rsidP="005D70FF">
            <w:pPr>
              <w:spacing w:after="0" w:line="240" w:lineRule="auto"/>
              <w:jc w:val="center"/>
              <w:rPr>
                <w:rFonts w:ascii="Times New Roman" w:eastAsia="Times New Roman" w:hAnsi="Times New Roman" w:cs="Times New Roman"/>
                <w:b/>
                <w:sz w:val="24"/>
                <w:szCs w:val="24"/>
                <w:lang w:eastAsia="ru-RU"/>
              </w:rPr>
            </w:pPr>
            <w:r w:rsidRPr="005D70FF">
              <w:rPr>
                <w:rFonts w:ascii="Times New Roman" w:eastAsia="Times New Roman" w:hAnsi="Times New Roman" w:cs="Times New Roman"/>
                <w:b/>
                <w:sz w:val="24"/>
                <w:szCs w:val="24"/>
                <w:lang w:eastAsia="ru-RU"/>
              </w:rPr>
              <w:t>Найменування завдання</w:t>
            </w:r>
          </w:p>
        </w:tc>
        <w:tc>
          <w:tcPr>
            <w:tcW w:w="1627" w:type="pct"/>
            <w:shd w:val="clear" w:color="auto" w:fill="auto"/>
          </w:tcPr>
          <w:p w:rsidR="005D70FF" w:rsidRPr="005D70FF" w:rsidRDefault="005D70FF" w:rsidP="005D70FF">
            <w:pPr>
              <w:spacing w:after="0" w:line="240" w:lineRule="auto"/>
              <w:jc w:val="center"/>
              <w:rPr>
                <w:rFonts w:ascii="Times New Roman" w:eastAsia="Times New Roman" w:hAnsi="Times New Roman" w:cs="Times New Roman"/>
                <w:b/>
                <w:sz w:val="24"/>
                <w:szCs w:val="24"/>
                <w:lang w:eastAsia="ru-RU"/>
              </w:rPr>
            </w:pPr>
            <w:r w:rsidRPr="005D70FF">
              <w:rPr>
                <w:rFonts w:ascii="Times New Roman" w:eastAsia="Times New Roman" w:hAnsi="Times New Roman" w:cs="Times New Roman"/>
                <w:b/>
                <w:sz w:val="24"/>
                <w:szCs w:val="24"/>
                <w:lang w:eastAsia="ru-RU"/>
              </w:rPr>
              <w:t>Найменування заходу</w:t>
            </w:r>
          </w:p>
        </w:tc>
        <w:tc>
          <w:tcPr>
            <w:tcW w:w="1962" w:type="pct"/>
          </w:tcPr>
          <w:p w:rsidR="005D70FF" w:rsidRPr="005D70FF" w:rsidRDefault="005D70FF" w:rsidP="005D70FF">
            <w:pPr>
              <w:spacing w:after="0" w:line="240" w:lineRule="auto"/>
              <w:jc w:val="center"/>
              <w:rPr>
                <w:rFonts w:ascii="Times New Roman" w:eastAsia="Times New Roman" w:hAnsi="Times New Roman" w:cs="Times New Roman"/>
                <w:b/>
                <w:sz w:val="24"/>
                <w:szCs w:val="24"/>
                <w:lang w:eastAsia="ru-RU"/>
              </w:rPr>
            </w:pPr>
            <w:r w:rsidRPr="005D70FF">
              <w:rPr>
                <w:rFonts w:ascii="Times New Roman" w:eastAsia="Times New Roman" w:hAnsi="Times New Roman" w:cs="Times New Roman"/>
                <w:b/>
                <w:sz w:val="24"/>
                <w:szCs w:val="24"/>
                <w:lang w:eastAsia="ru-RU"/>
              </w:rPr>
              <w:t>Стан виконання</w:t>
            </w:r>
          </w:p>
        </w:tc>
      </w:tr>
      <w:tr w:rsidR="005D70FF" w:rsidRPr="005D70FF" w:rsidTr="00EC3DE1">
        <w:trPr>
          <w:trHeight w:val="639"/>
        </w:trPr>
        <w:tc>
          <w:tcPr>
            <w:tcW w:w="1411"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Здійснення збору, аналізу і поширення інформації про домашнє насильство та/або насильство за ознакою статі.</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здійснення збору статистичних даних про факти домашнього насильства та/або насильства за ознакою статі та проведення аналізу ситуації</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Відділ соціального захисту населення та захисту прав дітей сільської ради, згідно листа заступника голови Рівненської обласної державної адміністрації від 03.03.2010 № вих-1760/0/01-35/10, щокварталу проводить збір та узагальнення інформації про </w:t>
            </w:r>
            <w:r w:rsidRPr="005D70FF">
              <w:rPr>
                <w:rFonts w:ascii="Times New Roman" w:eastAsia="Times New Roman" w:hAnsi="Times New Roman" w:cs="Times New Roman"/>
                <w:sz w:val="24"/>
                <w:szCs w:val="24"/>
                <w:lang w:eastAsia="ru-RU"/>
              </w:rPr>
              <w:lastRenderedPageBreak/>
              <w:t>здійснення заходів щодо проведення попередження насильства в сім’ї.</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У 2023 році зареєстровано 7 </w:t>
            </w:r>
            <w:proofErr w:type="spellStart"/>
            <w:r w:rsidRPr="005D70FF">
              <w:rPr>
                <w:rFonts w:ascii="Times New Roman" w:eastAsia="Times New Roman" w:hAnsi="Times New Roman" w:cs="Times New Roman"/>
                <w:sz w:val="24"/>
                <w:szCs w:val="24"/>
                <w:lang w:eastAsia="ru-RU"/>
              </w:rPr>
              <w:t>повідомленнь</w:t>
            </w:r>
            <w:proofErr w:type="spellEnd"/>
            <w:r w:rsidRPr="005D70FF">
              <w:rPr>
                <w:rFonts w:ascii="Times New Roman" w:eastAsia="Times New Roman" w:hAnsi="Times New Roman" w:cs="Times New Roman"/>
                <w:sz w:val="24"/>
                <w:szCs w:val="24"/>
                <w:lang w:eastAsia="ru-RU"/>
              </w:rPr>
              <w:t>, з них 4 від жінок та  3 від чоловіків.</w:t>
            </w:r>
          </w:p>
          <w:p w:rsidR="005D70FF" w:rsidRPr="005D70FF" w:rsidRDefault="005D70FF" w:rsidP="005D70FF">
            <w:pPr>
              <w:spacing w:after="0" w:line="240" w:lineRule="auto"/>
              <w:jc w:val="both"/>
              <w:rPr>
                <w:rFonts w:ascii="Times New Roman" w:eastAsia="Times New Roman" w:hAnsi="Times New Roman" w:cs="Times New Roman"/>
                <w:sz w:val="24"/>
                <w:szCs w:val="28"/>
                <w:lang w:eastAsia="ru-RU"/>
              </w:rPr>
            </w:pPr>
            <w:r w:rsidRPr="005D70FF">
              <w:rPr>
                <w:rFonts w:ascii="Times New Roman" w:eastAsia="Times New Roman" w:hAnsi="Times New Roman" w:cs="Times New Roman"/>
                <w:sz w:val="24"/>
                <w:szCs w:val="28"/>
                <w:lang w:eastAsia="ru-RU"/>
              </w:rPr>
              <w:t xml:space="preserve">За звітний період в службі у справах дітей Городоцької сільської ради перебувала 1 дитина на обліку дітей, які опинилися у складних життєвих обставинах, на підставі скоєння сексуального насильства над дитиною. З матір’ю та кривдником дитини проводилася профілактично-роз’яснювальна робота. За звітний період проведено 7 обстежень умов проживання даної сім’ї. </w:t>
            </w:r>
          </w:p>
          <w:p w:rsidR="005D70FF" w:rsidRPr="005D70FF" w:rsidRDefault="005D70FF" w:rsidP="005D70FF">
            <w:pPr>
              <w:spacing w:after="0" w:line="240" w:lineRule="auto"/>
              <w:jc w:val="both"/>
              <w:rPr>
                <w:rFonts w:ascii="Times New Roman" w:eastAsia="Times New Roman" w:hAnsi="Times New Roman" w:cs="Times New Roman"/>
                <w:sz w:val="24"/>
                <w:szCs w:val="28"/>
                <w:lang w:eastAsia="ru-RU"/>
              </w:rPr>
            </w:pPr>
            <w:r w:rsidRPr="005D70FF">
              <w:rPr>
                <w:rFonts w:ascii="Times New Roman" w:eastAsia="Times New Roman" w:hAnsi="Times New Roman" w:cs="Times New Roman"/>
                <w:sz w:val="24"/>
                <w:szCs w:val="28"/>
                <w:lang w:eastAsia="ru-RU"/>
              </w:rPr>
              <w:t xml:space="preserve">Комунальне некомерційне підприємство «Центр первинної медико-санітарної допомоги «Медичний простір» Городоцької сільської ради щоквартально інформує Департамент цивільного захисту охорони здоров’я населення Рівненської обласної державної адміністрації про випадки домашнього насильства та/або насильства за ознакою статі. </w:t>
            </w:r>
          </w:p>
          <w:p w:rsidR="005D70FF" w:rsidRPr="005D70FF" w:rsidRDefault="005D70FF" w:rsidP="005D70FF">
            <w:pPr>
              <w:spacing w:after="0" w:line="240" w:lineRule="auto"/>
              <w:jc w:val="both"/>
              <w:rPr>
                <w:rFonts w:ascii="Times New Roman" w:eastAsia="Times New Roman" w:hAnsi="Times New Roman" w:cs="Times New Roman"/>
                <w:sz w:val="24"/>
                <w:szCs w:val="28"/>
                <w:lang w:eastAsia="ru-RU"/>
              </w:rPr>
            </w:pPr>
            <w:r w:rsidRPr="005D70FF">
              <w:rPr>
                <w:rFonts w:ascii="Times New Roman" w:eastAsia="Times New Roman" w:hAnsi="Times New Roman" w:cs="Times New Roman"/>
                <w:sz w:val="24"/>
                <w:szCs w:val="28"/>
                <w:lang w:eastAsia="ru-RU"/>
              </w:rPr>
              <w:t xml:space="preserve">Лікарями медичних закладів сільської ради, здійснюється збір статистичних даних про факти домашнього насильства за ознакою статі. </w:t>
            </w:r>
          </w:p>
        </w:tc>
      </w:tr>
      <w:tr w:rsidR="005D70FF" w:rsidRPr="005D70FF" w:rsidTr="00EC3DE1">
        <w:trPr>
          <w:trHeight w:val="1348"/>
        </w:trPr>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lastRenderedPageBreak/>
              <w:t xml:space="preserve">2. 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w:t>
            </w:r>
            <w:r w:rsidRPr="005D70FF">
              <w:rPr>
                <w:rFonts w:ascii="Times New Roman" w:eastAsia="Times New Roman" w:hAnsi="Times New Roman" w:cs="Times New Roman"/>
                <w:sz w:val="24"/>
                <w:szCs w:val="24"/>
                <w:lang w:eastAsia="ru-RU"/>
              </w:rPr>
              <w:lastRenderedPageBreak/>
              <w:t>жінок, дітей, недієздатних осіб, осіб похилого віку</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lastRenderedPageBreak/>
              <w:t>1) забезпечення  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c>
          <w:tcPr>
            <w:tcW w:w="1962" w:type="pct"/>
          </w:tcPr>
          <w:p w:rsidR="005D70FF" w:rsidRPr="005D70FF" w:rsidRDefault="005D70FF" w:rsidP="005D70FF">
            <w:pPr>
              <w:spacing w:after="0" w:line="240" w:lineRule="auto"/>
              <w:rPr>
                <w:rFonts w:ascii="Times New Roman" w:eastAsia="Calibri"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Протягом звітного періоду у закладах освіти сільської ради проведено низку заходів: </w:t>
            </w:r>
            <w:r w:rsidRPr="005D70FF">
              <w:rPr>
                <w:rFonts w:ascii="Times New Roman" w:eastAsia="Calibri" w:hAnsi="Times New Roman" w:cs="Times New Roman"/>
                <w:sz w:val="24"/>
                <w:szCs w:val="24"/>
                <w:lang w:eastAsia="ru-RU"/>
              </w:rPr>
              <w:t xml:space="preserve">Міжнародний день боротьби з насильствам щодо жінок.    Перегляд соціального відеоролику «16 днів </w:t>
            </w:r>
            <w:proofErr w:type="spellStart"/>
            <w:r w:rsidRPr="005D70FF">
              <w:rPr>
                <w:rFonts w:ascii="Times New Roman" w:eastAsia="Calibri" w:hAnsi="Times New Roman" w:cs="Times New Roman"/>
                <w:sz w:val="24"/>
                <w:szCs w:val="24"/>
                <w:lang w:eastAsia="ru-RU"/>
              </w:rPr>
              <w:t>активізму</w:t>
            </w:r>
            <w:proofErr w:type="spellEnd"/>
            <w:r w:rsidRPr="005D70FF">
              <w:rPr>
                <w:rFonts w:ascii="Times New Roman" w:eastAsia="Calibri" w:hAnsi="Times New Roman" w:cs="Times New Roman"/>
                <w:sz w:val="24"/>
                <w:szCs w:val="24"/>
                <w:lang w:eastAsia="ru-RU"/>
              </w:rPr>
              <w:t xml:space="preserve"> проти </w:t>
            </w:r>
            <w:proofErr w:type="spellStart"/>
            <w:r w:rsidRPr="005D70FF">
              <w:rPr>
                <w:rFonts w:ascii="Times New Roman" w:eastAsia="Calibri" w:hAnsi="Times New Roman" w:cs="Times New Roman"/>
                <w:sz w:val="24"/>
                <w:szCs w:val="24"/>
                <w:lang w:eastAsia="ru-RU"/>
              </w:rPr>
              <w:t>ґендерно</w:t>
            </w:r>
            <w:proofErr w:type="spellEnd"/>
            <w:r w:rsidRPr="005D70FF">
              <w:rPr>
                <w:rFonts w:ascii="Times New Roman" w:eastAsia="Calibri" w:hAnsi="Times New Roman" w:cs="Times New Roman"/>
                <w:sz w:val="24"/>
                <w:szCs w:val="24"/>
                <w:lang w:eastAsia="ru-RU"/>
              </w:rPr>
              <w:t xml:space="preserve"> обумовленого насильства» в 7-9 класах.</w:t>
            </w:r>
          </w:p>
          <w:p w:rsidR="005D70FF" w:rsidRPr="005D70FF" w:rsidRDefault="005D70FF" w:rsidP="005D70FF">
            <w:pPr>
              <w:spacing w:after="0" w:line="240" w:lineRule="auto"/>
              <w:rPr>
                <w:rFonts w:ascii="Times New Roman" w:eastAsia="Times New Roman" w:hAnsi="Times New Roman" w:cs="Times New Roman"/>
                <w:sz w:val="24"/>
                <w:szCs w:val="24"/>
                <w:lang w:eastAsia="ru-RU"/>
              </w:rPr>
            </w:pPr>
            <w:r w:rsidRPr="005D70FF">
              <w:rPr>
                <w:rFonts w:ascii="Times New Roman" w:eastAsia="Calibri" w:hAnsi="Times New Roman" w:cs="Times New Roman"/>
                <w:sz w:val="24"/>
                <w:szCs w:val="24"/>
                <w:lang w:eastAsia="ru-RU"/>
              </w:rPr>
              <w:t>Бесіда «Скажімо – Ні! – насильству!» в 1-6 класах.</w:t>
            </w:r>
          </w:p>
          <w:p w:rsidR="005D70FF" w:rsidRPr="005D70FF" w:rsidRDefault="005D70FF" w:rsidP="005D70FF">
            <w:pPr>
              <w:spacing w:after="0" w:line="240" w:lineRule="auto"/>
              <w:rPr>
                <w:rFonts w:ascii="Times New Roman" w:eastAsia="Calibri" w:hAnsi="Times New Roman" w:cs="Times New Roman"/>
                <w:sz w:val="24"/>
                <w:szCs w:val="24"/>
                <w:lang w:eastAsia="ru-RU"/>
              </w:rPr>
            </w:pPr>
            <w:r w:rsidRPr="005D70FF">
              <w:rPr>
                <w:rFonts w:ascii="Times New Roman" w:eastAsia="Calibri" w:hAnsi="Times New Roman" w:cs="Times New Roman"/>
                <w:sz w:val="24"/>
                <w:szCs w:val="24"/>
                <w:lang w:eastAsia="ru-RU"/>
              </w:rPr>
              <w:t xml:space="preserve">Виготовлення </w:t>
            </w:r>
            <w:proofErr w:type="spellStart"/>
            <w:r w:rsidRPr="005D70FF">
              <w:rPr>
                <w:rFonts w:ascii="Times New Roman" w:eastAsia="Calibri" w:hAnsi="Times New Roman" w:cs="Times New Roman"/>
                <w:sz w:val="24"/>
                <w:szCs w:val="24"/>
                <w:lang w:eastAsia="ru-RU"/>
              </w:rPr>
              <w:t>лепбуків</w:t>
            </w:r>
            <w:proofErr w:type="spellEnd"/>
            <w:r w:rsidRPr="005D70FF">
              <w:rPr>
                <w:rFonts w:ascii="Times New Roman" w:eastAsia="Calibri" w:hAnsi="Times New Roman" w:cs="Times New Roman"/>
                <w:sz w:val="24"/>
                <w:szCs w:val="24"/>
                <w:lang w:eastAsia="ru-RU"/>
              </w:rPr>
              <w:t xml:space="preserve"> до акції «16 днів проти насилля» в 5-7 класах.</w:t>
            </w:r>
          </w:p>
          <w:p w:rsidR="005D70FF" w:rsidRPr="005D70FF" w:rsidRDefault="005D70FF" w:rsidP="005D70FF">
            <w:pPr>
              <w:spacing w:after="0" w:line="240" w:lineRule="auto"/>
              <w:rPr>
                <w:rFonts w:ascii="Times New Roman" w:eastAsia="Calibri" w:hAnsi="Times New Roman" w:cs="Times New Roman"/>
                <w:sz w:val="24"/>
                <w:szCs w:val="24"/>
                <w:lang w:eastAsia="ru-RU"/>
              </w:rPr>
            </w:pPr>
            <w:r w:rsidRPr="005D70FF">
              <w:rPr>
                <w:rFonts w:ascii="Times New Roman" w:eastAsia="Calibri" w:hAnsi="Times New Roman" w:cs="Times New Roman"/>
                <w:sz w:val="24"/>
                <w:szCs w:val="24"/>
                <w:lang w:eastAsia="ru-RU"/>
              </w:rPr>
              <w:t xml:space="preserve">Перегляд соціального відеоролику із протидії торгівлі людьми,  </w:t>
            </w:r>
            <w:r w:rsidRPr="005D70FF">
              <w:rPr>
                <w:rFonts w:ascii="Times New Roman" w:eastAsia="Calibri" w:hAnsi="Times New Roman" w:cs="Times New Roman"/>
                <w:sz w:val="24"/>
                <w:szCs w:val="24"/>
                <w:lang w:eastAsia="ru-RU"/>
              </w:rPr>
              <w:lastRenderedPageBreak/>
              <w:t xml:space="preserve">виховна година «Сучасне рабство» в 5-9 класах. </w:t>
            </w:r>
          </w:p>
          <w:p w:rsidR="005D70FF" w:rsidRPr="005D70FF" w:rsidRDefault="005D70FF" w:rsidP="005D70FF">
            <w:pPr>
              <w:spacing w:after="0" w:line="240" w:lineRule="auto"/>
              <w:rPr>
                <w:rFonts w:ascii="Times New Roman" w:eastAsia="Calibri" w:hAnsi="Times New Roman" w:cs="Times New Roman"/>
                <w:sz w:val="24"/>
                <w:szCs w:val="24"/>
                <w:lang w:eastAsia="ru-RU"/>
              </w:rPr>
            </w:pPr>
            <w:r w:rsidRPr="005D70FF">
              <w:rPr>
                <w:rFonts w:ascii="Times New Roman" w:eastAsia="Calibri" w:hAnsi="Times New Roman" w:cs="Times New Roman"/>
                <w:sz w:val="24"/>
                <w:szCs w:val="24"/>
                <w:lang w:eastAsia="ru-RU"/>
              </w:rPr>
              <w:t xml:space="preserve">Проведено урок щодо запобігання домашньому насильству прокурором Рівненської окружної прокуратури для учнів 5-6 класів у </w:t>
            </w:r>
            <w:proofErr w:type="spellStart"/>
            <w:r w:rsidRPr="005D70FF">
              <w:rPr>
                <w:rFonts w:ascii="Times New Roman" w:eastAsia="Calibri" w:hAnsi="Times New Roman" w:cs="Times New Roman"/>
                <w:sz w:val="24"/>
                <w:szCs w:val="24"/>
                <w:lang w:eastAsia="ru-RU"/>
              </w:rPr>
              <w:t>Карпилівської</w:t>
            </w:r>
            <w:proofErr w:type="spellEnd"/>
            <w:r w:rsidRPr="005D70FF">
              <w:rPr>
                <w:rFonts w:ascii="Times New Roman" w:eastAsia="Calibri" w:hAnsi="Times New Roman" w:cs="Times New Roman"/>
                <w:sz w:val="24"/>
                <w:szCs w:val="24"/>
                <w:lang w:eastAsia="ru-RU"/>
              </w:rPr>
              <w:t xml:space="preserve"> гімназії. Проведення інтерактивної гри «Молодь та поліція разом проти насильства» з участю старшого інспектора сектору ювенальної превенції. </w:t>
            </w:r>
          </w:p>
          <w:p w:rsidR="005D70FF" w:rsidRPr="005D70FF" w:rsidRDefault="005D70FF" w:rsidP="005D70FF">
            <w:pPr>
              <w:spacing w:after="0" w:line="240" w:lineRule="auto"/>
              <w:rPr>
                <w:rFonts w:ascii="Times New Roman" w:eastAsia="NSimSun" w:hAnsi="Times New Roman" w:cs="Times New Roman"/>
                <w:sz w:val="24"/>
                <w:szCs w:val="24"/>
                <w:lang w:eastAsia="ru-RU"/>
              </w:rPr>
            </w:pPr>
            <w:r w:rsidRPr="005D70FF">
              <w:rPr>
                <w:rFonts w:ascii="Times New Roman" w:eastAsia="Times New Roman" w:hAnsi="Times New Roman" w:cs="Times New Roman"/>
                <w:iCs/>
                <w:sz w:val="24"/>
                <w:szCs w:val="24"/>
                <w:lang w:eastAsia="ru-RU"/>
              </w:rPr>
              <w:t>На території сільської ради  службою у справах дітей спільно з представниками правоохоронних органів проведено 87 рейдів, в ході яких перевірено умови утримання та виховання дітей у 90 сім’ях.</w:t>
            </w:r>
            <w:r w:rsidRPr="005D70FF">
              <w:rPr>
                <w:rFonts w:ascii="Times New Roman" w:eastAsia="Times New Roman" w:hAnsi="Times New Roman" w:cs="Times New Roman"/>
                <w:sz w:val="24"/>
                <w:szCs w:val="24"/>
                <w:shd w:val="clear" w:color="auto" w:fill="FFFFFF"/>
                <w:lang w:eastAsia="ru-RU"/>
              </w:rPr>
              <w:t xml:space="preserve"> Під час проведення рейдів із законними представникам дітей та неповнолітніми було проведено бесіди щодо запобігання та протидії насильству, роз’яснення його форм, проявів та наслідків.</w:t>
            </w:r>
            <w:r w:rsidRPr="005D70FF">
              <w:rPr>
                <w:rFonts w:ascii="Times New Roman" w:eastAsia="NSimSun" w:hAnsi="Times New Roman" w:cs="Times New Roman"/>
                <w:sz w:val="24"/>
                <w:szCs w:val="24"/>
                <w:lang w:eastAsia="ru-RU"/>
              </w:rPr>
              <w:t xml:space="preserve"> </w:t>
            </w:r>
          </w:p>
        </w:tc>
      </w:tr>
      <w:tr w:rsidR="005D70FF" w:rsidRPr="005D70FF" w:rsidTr="00EC3DE1">
        <w:trPr>
          <w:trHeight w:val="1070"/>
        </w:trPr>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2) проведення скоординованих національних, регіональних та місцевих інформаційно-комунікаційних кампаній для дітей, молоді, осіб похилого віку, внутрішньо переміщених осіб, учасників антитерористичної операції/операції </w:t>
            </w:r>
            <w:proofErr w:type="spellStart"/>
            <w:r w:rsidRPr="005D70FF">
              <w:rPr>
                <w:rFonts w:ascii="Times New Roman" w:eastAsia="Times New Roman" w:hAnsi="Times New Roman" w:cs="Times New Roman"/>
                <w:sz w:val="24"/>
                <w:szCs w:val="24"/>
                <w:lang w:eastAsia="ru-RU"/>
              </w:rPr>
              <w:t>обʼєднаних</w:t>
            </w:r>
            <w:proofErr w:type="spellEnd"/>
            <w:r w:rsidRPr="005D70FF">
              <w:rPr>
                <w:rFonts w:ascii="Times New Roman" w:eastAsia="Times New Roman" w:hAnsi="Times New Roman" w:cs="Times New Roman"/>
                <w:sz w:val="24"/>
                <w:szCs w:val="24"/>
                <w:lang w:eastAsia="ru-RU"/>
              </w:rPr>
              <w:t xml:space="preserve"> сил та членів їх родин, осіб з інвалідністю, інших соціальних груп, забезпечивши у разі необхідності осіб з порушенням слуху перекладачем жестової мови або онлайн-перекладом жестовою мовою із застосуванням мобільних додатків</w:t>
            </w:r>
          </w:p>
        </w:tc>
        <w:tc>
          <w:tcPr>
            <w:tcW w:w="1962" w:type="pct"/>
          </w:tcPr>
          <w:p w:rsidR="005D70FF" w:rsidRPr="005D70FF" w:rsidRDefault="005D70FF" w:rsidP="005D70FF">
            <w:pPr>
              <w:spacing w:after="0" w:line="240" w:lineRule="auto"/>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Протягом 2023 року в рамках проведення Всесвітньої акції «16 днів проти насильства», яка щорічно проходить з 25 листопада по 10 грудня в закладах освіти сільської ради, проведено ряд заходів, а саме:</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xml:space="preserve">- в </w:t>
            </w:r>
            <w:proofErr w:type="spellStart"/>
            <w:r w:rsidRPr="005D70FF">
              <w:rPr>
                <w:rFonts w:ascii="Times New Roman" w:eastAsia="Calibri" w:hAnsi="Times New Roman" w:cs="Times New Roman"/>
                <w:sz w:val="24"/>
                <w:szCs w:val="24"/>
              </w:rPr>
              <w:t>Карпилівській</w:t>
            </w:r>
            <w:proofErr w:type="spellEnd"/>
            <w:r w:rsidRPr="005D70FF">
              <w:rPr>
                <w:rFonts w:ascii="Times New Roman" w:eastAsia="Calibri" w:hAnsi="Times New Roman" w:cs="Times New Roman"/>
                <w:sz w:val="24"/>
                <w:szCs w:val="24"/>
              </w:rPr>
              <w:t xml:space="preserve"> гімназії та </w:t>
            </w:r>
            <w:proofErr w:type="spellStart"/>
            <w:r w:rsidRPr="005D70FF">
              <w:rPr>
                <w:rFonts w:ascii="Times New Roman" w:eastAsia="Calibri" w:hAnsi="Times New Roman" w:cs="Times New Roman"/>
                <w:sz w:val="24"/>
                <w:szCs w:val="24"/>
              </w:rPr>
              <w:t>Обарівському</w:t>
            </w:r>
            <w:proofErr w:type="spellEnd"/>
            <w:r w:rsidRPr="005D70FF">
              <w:rPr>
                <w:rFonts w:ascii="Times New Roman" w:eastAsia="Calibri" w:hAnsi="Times New Roman" w:cs="Times New Roman"/>
                <w:sz w:val="24"/>
                <w:szCs w:val="24"/>
              </w:rPr>
              <w:t xml:space="preserve"> ліцеї, старшим інспектором сектору ювенальної превенції Рівненського управління ГУНП в Рівненській області проведено круглий стіл «Твоє коло безпеки». Здобувачам освіти нагадали, що таке насильство, його види та попередили про відповідальність;</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xml:space="preserve">- класними керівниками зі здобувачами освіти проведені години спілкування на тему: «Людина – не товар: що треба знати, аби не потрапити в трудове рабство», метою яких є привернення уваги суспільства до проблем подолання насильства; </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до Всесвітнього дня боротьби зі СНІДом, з метою формування знань про СНІД та ВІЛ публічно-</w:t>
            </w:r>
            <w:r w:rsidRPr="005D70FF">
              <w:rPr>
                <w:rFonts w:ascii="Times New Roman" w:eastAsia="Calibri" w:hAnsi="Times New Roman" w:cs="Times New Roman"/>
                <w:sz w:val="24"/>
                <w:szCs w:val="24"/>
              </w:rPr>
              <w:lastRenderedPageBreak/>
              <w:t xml:space="preserve">шкільними бібліотеками сільської ради облаштовані інформаційні дошки. Де кожен міг ознайомитись з інформацією про небезпеку, яку несе СНІД та, що потрібно знати щоб уберегти себе і своїх рідних від цієї страшної хвороби; </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xml:space="preserve">- в </w:t>
            </w:r>
            <w:proofErr w:type="spellStart"/>
            <w:r w:rsidRPr="005D70FF">
              <w:rPr>
                <w:rFonts w:ascii="Times New Roman" w:eastAsia="Calibri" w:hAnsi="Times New Roman" w:cs="Times New Roman"/>
                <w:sz w:val="24"/>
                <w:szCs w:val="24"/>
              </w:rPr>
              <w:t>Бронницькій</w:t>
            </w:r>
            <w:proofErr w:type="spellEnd"/>
            <w:r w:rsidRPr="005D70FF">
              <w:rPr>
                <w:rFonts w:ascii="Times New Roman" w:eastAsia="Calibri" w:hAnsi="Times New Roman" w:cs="Times New Roman"/>
                <w:sz w:val="24"/>
                <w:szCs w:val="24"/>
              </w:rPr>
              <w:t xml:space="preserve"> гімназії оформлено інформаційну дошку, де здобувачі освіти мали змогу ознайомитись: «Що таке насильство. Його форми. Як себе захистити». </w:t>
            </w:r>
          </w:p>
        </w:tc>
      </w:tr>
      <w:tr w:rsidR="005D70FF" w:rsidRPr="005D70FF" w:rsidTr="00EC3DE1">
        <w:trPr>
          <w:trHeight w:val="2818"/>
        </w:trPr>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3) оприлюднення даних про суб’єктів, що здійснюють заходи у сфері запобігання та протидії домашньому насильству та/або насильству за ознакою статі на регіональному і місцевому рівні, та забезпечення доступності інформації про їх функції та обов’язки у запобіганні та протидії домашньому насильству</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Інформацію про форми, прояви,  причини та наслідки домашнього насильства, контактні дані відповідальних осіб розміщено на офіційному веб-сайті громади та на інформаційних стендах в приміщенні сільської ради.</w:t>
            </w:r>
          </w:p>
        </w:tc>
      </w:tr>
      <w:tr w:rsidR="005D70FF" w:rsidRPr="005D70FF" w:rsidTr="00EC3DE1">
        <w:trPr>
          <w:trHeight w:val="20"/>
        </w:trPr>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3.Формування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забезпечення включення до базового компонента дошкільної освіти положень щодо ціннісних орієнтирів, змісту, результатів навчання ненасильницькій поведінці, ефективній комунікації, управлінню конфліктами, емоційній грамотності, рівності та недискримінації, ненасильницькому розв’язанню конфліктів у сімейних та міжособистісних відносинах; державного стандарту початкової освіти; державного стандарту базової середньої освіти; державного стандарту профільної середньої освіти.</w:t>
            </w:r>
          </w:p>
        </w:tc>
        <w:tc>
          <w:tcPr>
            <w:tcW w:w="1962" w:type="pct"/>
          </w:tcPr>
          <w:p w:rsidR="005D70FF" w:rsidRPr="005D70FF" w:rsidRDefault="005D70FF" w:rsidP="005D70FF">
            <w:pPr>
              <w:spacing w:after="0" w:line="240" w:lineRule="auto"/>
              <w:jc w:val="both"/>
              <w:rPr>
                <w:rFonts w:ascii="Times New Roman" w:eastAsia="Calibri" w:hAnsi="Times New Roman" w:cs="Times New Roman"/>
                <w:sz w:val="24"/>
                <w:szCs w:val="24"/>
                <w:lang w:eastAsia="ru-RU"/>
              </w:rPr>
            </w:pPr>
            <w:r w:rsidRPr="005D70FF">
              <w:rPr>
                <w:rFonts w:ascii="Times New Roman" w:eastAsia="Calibri" w:hAnsi="Times New Roman" w:cs="Times New Roman"/>
                <w:sz w:val="24"/>
                <w:szCs w:val="24"/>
                <w:lang w:eastAsia="ru-RU"/>
              </w:rPr>
              <w:t xml:space="preserve">В травні 2023 року в рамках реалізації </w:t>
            </w:r>
            <w:proofErr w:type="spellStart"/>
            <w:r w:rsidRPr="005D70FF">
              <w:rPr>
                <w:rFonts w:ascii="Times New Roman" w:eastAsia="Calibri" w:hAnsi="Times New Roman" w:cs="Times New Roman"/>
                <w:sz w:val="24"/>
                <w:szCs w:val="24"/>
                <w:lang w:eastAsia="ru-RU"/>
              </w:rPr>
              <w:t>проєкту</w:t>
            </w:r>
            <w:proofErr w:type="spellEnd"/>
            <w:r w:rsidRPr="005D70FF">
              <w:rPr>
                <w:rFonts w:ascii="Times New Roman" w:eastAsia="Calibri" w:hAnsi="Times New Roman" w:cs="Times New Roman"/>
                <w:sz w:val="24"/>
                <w:szCs w:val="24"/>
                <w:lang w:eastAsia="ru-RU"/>
              </w:rPr>
              <w:t xml:space="preserve"> «Спеціаліст з безпеки в освітньому середовищі» до Дня протидії </w:t>
            </w:r>
            <w:proofErr w:type="spellStart"/>
            <w:r w:rsidRPr="005D70FF">
              <w:rPr>
                <w:rFonts w:ascii="Times New Roman" w:eastAsia="Calibri" w:hAnsi="Times New Roman" w:cs="Times New Roman"/>
                <w:sz w:val="24"/>
                <w:szCs w:val="24"/>
                <w:lang w:eastAsia="ru-RU"/>
              </w:rPr>
              <w:t>булінгу</w:t>
            </w:r>
            <w:proofErr w:type="spellEnd"/>
            <w:r w:rsidRPr="005D70FF">
              <w:rPr>
                <w:rFonts w:ascii="Times New Roman" w:eastAsia="Calibri" w:hAnsi="Times New Roman" w:cs="Times New Roman"/>
                <w:sz w:val="24"/>
                <w:szCs w:val="24"/>
                <w:lang w:eastAsia="ru-RU"/>
              </w:rPr>
              <w:t xml:space="preserve"> в освітньому закладі «Городоцький ліцей» спільно з  старшим інспектором сектору ювенальної превенції Рівненського РУП ГУНП для учнів 5-6 класів проведено   урок щодо виховання культури, поваги та толерантності у закладі. </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Calibri" w:hAnsi="Times New Roman" w:cs="Times New Roman"/>
                <w:sz w:val="24"/>
                <w:szCs w:val="24"/>
                <w:lang w:eastAsia="ru-RU"/>
              </w:rPr>
              <w:t xml:space="preserve">Педагогічний колектив закладу співпрацює з представниками ювенальної превенції Рівненського районного управління поліції ГУНП в Рівненській області, службою у справах дітей Городоцької сільської ради щодо розв’язання конфліктів у сімейних та </w:t>
            </w:r>
            <w:proofErr w:type="spellStart"/>
            <w:r w:rsidRPr="005D70FF">
              <w:rPr>
                <w:rFonts w:ascii="Times New Roman" w:eastAsia="Calibri" w:hAnsi="Times New Roman" w:cs="Times New Roman"/>
                <w:sz w:val="24"/>
                <w:szCs w:val="24"/>
                <w:lang w:eastAsia="ru-RU"/>
              </w:rPr>
              <w:t>міжособистнісних</w:t>
            </w:r>
            <w:proofErr w:type="spellEnd"/>
            <w:r w:rsidRPr="005D70FF">
              <w:rPr>
                <w:rFonts w:ascii="Times New Roman" w:eastAsia="Calibri" w:hAnsi="Times New Roman" w:cs="Times New Roman"/>
                <w:sz w:val="24"/>
                <w:szCs w:val="24"/>
                <w:lang w:eastAsia="ru-RU"/>
              </w:rPr>
              <w:t xml:space="preserve"> відносинах.</w:t>
            </w:r>
          </w:p>
        </w:tc>
      </w:tr>
      <w:tr w:rsidR="005D70FF" w:rsidRPr="005D70FF" w:rsidTr="00EC3DE1">
        <w:trPr>
          <w:trHeight w:val="2914"/>
        </w:trPr>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2) розроблення та впровадження програм попередження домашнього насильства, в тому числі для учасників бойових дій, родин ветеранів антитерористичної операції/операції </w:t>
            </w:r>
            <w:proofErr w:type="spellStart"/>
            <w:r w:rsidRPr="005D70FF">
              <w:rPr>
                <w:rFonts w:ascii="Times New Roman" w:eastAsia="Times New Roman" w:hAnsi="Times New Roman" w:cs="Times New Roman"/>
                <w:sz w:val="24"/>
                <w:szCs w:val="24"/>
                <w:lang w:eastAsia="ru-RU"/>
              </w:rPr>
              <w:t>обʼєднаних</w:t>
            </w:r>
            <w:proofErr w:type="spellEnd"/>
            <w:r w:rsidRPr="005D70FF">
              <w:rPr>
                <w:rFonts w:ascii="Times New Roman" w:eastAsia="Times New Roman" w:hAnsi="Times New Roman" w:cs="Times New Roman"/>
                <w:sz w:val="24"/>
                <w:szCs w:val="24"/>
                <w:lang w:eastAsia="ru-RU"/>
              </w:rPr>
              <w:t xml:space="preserve"> сил, внутрішньо переміщених осіб, осіб з інвалідністю, недієздатних осіб та осіб  похилого віку</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Розроблена та впроваджена соціальна програма запобігання та протидії домашнього насильства для учасників бойових дій, родин ветеранів антитерористичної операції/операції </w:t>
            </w:r>
            <w:proofErr w:type="spellStart"/>
            <w:r w:rsidRPr="005D70FF">
              <w:rPr>
                <w:rFonts w:ascii="Times New Roman" w:eastAsia="Times New Roman" w:hAnsi="Times New Roman" w:cs="Times New Roman"/>
                <w:sz w:val="24"/>
                <w:szCs w:val="24"/>
                <w:lang w:eastAsia="ru-RU"/>
              </w:rPr>
              <w:t>обʼєднаних</w:t>
            </w:r>
            <w:proofErr w:type="spellEnd"/>
            <w:r w:rsidRPr="005D70FF">
              <w:rPr>
                <w:rFonts w:ascii="Times New Roman" w:eastAsia="Times New Roman" w:hAnsi="Times New Roman" w:cs="Times New Roman"/>
                <w:sz w:val="24"/>
                <w:szCs w:val="24"/>
                <w:lang w:eastAsia="ru-RU"/>
              </w:rPr>
              <w:t xml:space="preserve"> сил, внутрішньо переміщених осіб, осіб з інвалідністю, недієздатних осіб та осіб похилого віку із залученням всіх відповідальних суб’єктів за виконання заходів даної програми.</w:t>
            </w:r>
          </w:p>
        </w:tc>
      </w:tr>
      <w:tr w:rsidR="005D70FF" w:rsidRPr="005D70FF" w:rsidTr="00EC3DE1">
        <w:trPr>
          <w:trHeight w:val="2300"/>
        </w:trPr>
        <w:tc>
          <w:tcPr>
            <w:tcW w:w="1411"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lastRenderedPageBreak/>
              <w:t>4.Заохочення всіх членів суспільства, насамперед чоловіків і хлопців, до активного сприяння запобіганню домашньому насильству та/або насильству за ознакою статі</w:t>
            </w:r>
          </w:p>
        </w:tc>
        <w:tc>
          <w:tcPr>
            <w:tcW w:w="1627" w:type="pct"/>
            <w:shd w:val="clear" w:color="auto" w:fill="auto"/>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залучення чоловіків і хлопців до заходів із формування в суспільстві нульової толерантності до домашнього насильства та/або насильства за ознакою статі</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Закладами освіти проводиться робота соціально-психологічної служби навчальних закладів:</w:t>
            </w:r>
          </w:p>
          <w:p w:rsidR="005D70FF" w:rsidRPr="005D70FF" w:rsidRDefault="005D70FF" w:rsidP="005D70FF">
            <w:pPr>
              <w:spacing w:after="0" w:line="240" w:lineRule="auto"/>
              <w:jc w:val="both"/>
              <w:rPr>
                <w:rFonts w:ascii="Calibri" w:eastAsia="Times New Roman" w:hAnsi="Calibri" w:cs="Times New Roman"/>
                <w:lang w:eastAsia="zh-CN"/>
              </w:rPr>
            </w:pPr>
            <w:r w:rsidRPr="005D70FF">
              <w:rPr>
                <w:rFonts w:ascii="Times New Roman" w:eastAsia="Times New Roman" w:hAnsi="Times New Roman" w:cs="Times New Roman"/>
                <w:sz w:val="24"/>
                <w:szCs w:val="24"/>
                <w:lang w:eastAsia="ru-RU"/>
              </w:rPr>
              <w:t>З метою розширення знань здобувачів освіти про проблему ґендерних взаємовідносин (насильство за ознакою статі) у суспільстві. проведені різноманітні заходи, на яких розкриті поняття "</w:t>
            </w:r>
            <w:proofErr w:type="spellStart"/>
            <w:r w:rsidRPr="005D70FF">
              <w:rPr>
                <w:rFonts w:ascii="Times New Roman" w:eastAsia="Times New Roman" w:hAnsi="Times New Roman" w:cs="Times New Roman"/>
                <w:sz w:val="24"/>
                <w:szCs w:val="24"/>
                <w:lang w:eastAsia="ru-RU"/>
              </w:rPr>
              <w:t>ґендер</w:t>
            </w:r>
            <w:proofErr w:type="spellEnd"/>
            <w:r w:rsidRPr="005D70FF">
              <w:rPr>
                <w:rFonts w:ascii="Times New Roman" w:eastAsia="Times New Roman" w:hAnsi="Times New Roman" w:cs="Times New Roman"/>
                <w:sz w:val="24"/>
                <w:szCs w:val="24"/>
                <w:lang w:eastAsia="ru-RU"/>
              </w:rPr>
              <w:t>", "ґендерні стереотипи", "ґендерна роль", "ґендерна рівність" та "ґендерна дискримінація".</w:t>
            </w:r>
          </w:p>
        </w:tc>
      </w:tr>
      <w:tr w:rsidR="005D70FF" w:rsidRPr="005D70FF" w:rsidTr="00EC3DE1">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5. 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узгодження завдань із запобігання та протидії домашньому насильству та/або насильству за ознакою статі між суб’єктами взаємодії і затвердження відповідних програм/заходів</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Рішенням сесії від 14.07.2021                  № 594 затверджено соціальну програму запобігання та протидії домашньому насильству та насильству за ознакою статі на період до 2025 року. </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2) визначення уповноваженої посадової особи з питань забезпечення рівних прав та можливостей жінок та чоловіків, 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 насильству за ознакою статі</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Розпорядженням сільського голови від 24.03.2021 № 18 призначено посадову особу відповідальну за координацію заходів у сфері запобігання та протидії домашньому насильству.</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3) забезпечення діяльності  координаційних рад</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Рішенням виконавчого комітету   від 30.03.2021 № 42 (зі змінами) утворено місцеву координаційну раду.</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Засідання координаційної ради з питань сім'ї, ґендерної рівності, демографічного розвитку, </w:t>
            </w:r>
            <w:r w:rsidRPr="005D70FF">
              <w:rPr>
                <w:rFonts w:ascii="Times New Roman" w:eastAsia="Times New Roman" w:hAnsi="Times New Roman" w:cs="Times New Roman"/>
                <w:sz w:val="24"/>
                <w:szCs w:val="24"/>
                <w:lang w:eastAsia="ru-RU"/>
              </w:rPr>
              <w:lastRenderedPageBreak/>
              <w:t>запобігання та протидії домашньому насильству, насильству за ознакою статі та торгівлі людьми проводяться за потреби.</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Протягом звітного періоду проведено 2 засідання координаційної ради. </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4) визначення відповідальних працівників виконавчого комітету сільської ради,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Визначено відповідальну особу за прийом, реєстрацію звернень та повідомлень про вчинення домашнього насильства.</w:t>
            </w:r>
          </w:p>
        </w:tc>
      </w:tr>
      <w:tr w:rsidR="005D70FF" w:rsidRPr="005D70FF" w:rsidTr="00EC3DE1">
        <w:trPr>
          <w:trHeight w:val="3196"/>
        </w:trPr>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5) визначення потреб територіальної громади у соціальних послугах, зокрема у соціальній профілактиці, з метою запобігання насильству, планування надання соціальних послуг для постраждалих осіб відповідно до оцінки потреб, визначення потреб у фінансуванні.</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Щороку визначаються потреби територіальної громади у соціальних послугах, зокрема у соціальній профілактиці, з метою запобігання насильству, планування надання соціальних послуг для постраждалих осіб відповідно до оцінки потреб.</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6) вжиття заходів до 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У 2023 році до відділу соціального захисту населення та захисту прав дітей надійшло 7 повідомлень щодо вчинення домашнього насильства. Здійснено оцінку потреб постраждалих осіб, поінформовано про їх права та можливість отримання дієвої допомоги. За результатами оцінки потреб  надано соціальні послуги: інформування, консультування, соціальний супровід.</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7) удосконалення  порядку інформування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Інформування про виявлені факти домашнього насильства та/або насильства за ознакою статі  відбувається в межах передбачених  законодавством, з дотриманням правового режиму інформації з обмеженим доступом.</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8) розроблення та затвердження  механізму  реагування суб’єктів, що здійснюють заходи у сфері запобігання та протидії домашньому насильству та/або насильству за ознакою статі, на випадки такого насильства  з урахуванням оцінки ризиків, що загрожують постраждалій особі</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На засіданні координаційної ради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обговорили механізм  реагування суб’єктів, що здійснюють заходи у сфері запобігання та протидії домашньому насильству та/або насильству за ознакою статі, на випадки такого насильства з урахуванням оцінки ризиків, що загрожують постраждалій особі. </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9) розроблення суб’єктами взаємодії спільного алгоритму реагування на випадки домашнього насильства та/або насильства за ознакою статі та надання дієвої допомоги постраждалим особам, що здійснюються різними суб’єктами, з урахуванням оцінки ризиків</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На засіданні координаційної ради  питань сім'ї, ґендерної рівності, демографічного розвитку, запобігання та протидії домашньому насильству, насильству за ознакою статі та торгівлі людьми суб’єктами  взаємодії обговорено алгоритм реагування на випадки домашнього насильства та/або насильства за ознакою статі та надання дієвої допомоги постраждалим особам, що здійснюються різними суб’єктами, з урахуванням оцінки ризиків.</w:t>
            </w:r>
          </w:p>
        </w:tc>
      </w:tr>
      <w:tr w:rsidR="005D70FF" w:rsidRPr="005D70FF" w:rsidTr="00EC3DE1">
        <w:trPr>
          <w:trHeight w:val="1064"/>
        </w:trPr>
        <w:tc>
          <w:tcPr>
            <w:tcW w:w="1411"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6. Забезпечення збирання, реєстрації, накопичення, зберігання, адаптування, зміни, поновлення, використання, поширення (розповсюдження, реалізації, передачі), </w:t>
            </w:r>
            <w:r w:rsidRPr="005D70FF">
              <w:rPr>
                <w:rFonts w:ascii="Times New Roman" w:eastAsia="Times New Roman" w:hAnsi="Times New Roman" w:cs="Times New Roman"/>
                <w:sz w:val="24"/>
                <w:szCs w:val="24"/>
                <w:lang w:eastAsia="ru-RU"/>
              </w:rPr>
              <w:lastRenderedPageBreak/>
              <w:t>знеособлення і знищення даних про випадки домашнього насильства та насильства за ознакою статі</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lastRenderedPageBreak/>
              <w:t>1) здійснення обліку звернень щодо домашнього насильства та насильства за ознакою статі, облік скарг щодо неналежного/несвоєчасного реагування</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Відділом соціального захисту населення та </w:t>
            </w:r>
            <w:proofErr w:type="spellStart"/>
            <w:r w:rsidRPr="005D70FF">
              <w:rPr>
                <w:rFonts w:ascii="Times New Roman" w:eastAsia="Times New Roman" w:hAnsi="Times New Roman" w:cs="Times New Roman"/>
                <w:sz w:val="24"/>
                <w:szCs w:val="24"/>
                <w:lang w:eastAsia="ru-RU"/>
              </w:rPr>
              <w:t>засту</w:t>
            </w:r>
            <w:proofErr w:type="spellEnd"/>
            <w:r w:rsidRPr="005D70FF">
              <w:rPr>
                <w:rFonts w:ascii="Times New Roman" w:eastAsia="Times New Roman" w:hAnsi="Times New Roman" w:cs="Times New Roman"/>
                <w:sz w:val="24"/>
                <w:szCs w:val="24"/>
                <w:lang w:eastAsia="ru-RU"/>
              </w:rPr>
              <w:t xml:space="preserve"> прав дітей здійснюється облік звернень/повідомлень щодо домашнього насильства та насильства за ознакою статі, облік скарг щодо неналежного/ несвоєчасного реагування. </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lastRenderedPageBreak/>
              <w:t xml:space="preserve">При наявності </w:t>
            </w:r>
            <w:proofErr w:type="spellStart"/>
            <w:r w:rsidRPr="005D70FF">
              <w:rPr>
                <w:rFonts w:ascii="Times New Roman" w:eastAsia="Times New Roman" w:hAnsi="Times New Roman" w:cs="Times New Roman"/>
                <w:sz w:val="24"/>
                <w:szCs w:val="24"/>
                <w:lang w:eastAsia="ru-RU"/>
              </w:rPr>
              <w:t>випаднів</w:t>
            </w:r>
            <w:proofErr w:type="spellEnd"/>
            <w:r w:rsidRPr="005D70FF">
              <w:rPr>
                <w:rFonts w:ascii="Times New Roman" w:eastAsia="Times New Roman" w:hAnsi="Times New Roman" w:cs="Times New Roman"/>
                <w:sz w:val="24"/>
                <w:szCs w:val="24"/>
                <w:lang w:eastAsia="ru-RU"/>
              </w:rPr>
              <w:t xml:space="preserve"> домашнього насильства при зверненні громадян до медичних закладів сільської ради, медичні працівники одразу повідомляють про ці випадки </w:t>
            </w:r>
            <w:proofErr w:type="spellStart"/>
            <w:r w:rsidRPr="005D70FF">
              <w:rPr>
                <w:rFonts w:ascii="Times New Roman" w:eastAsia="Times New Roman" w:hAnsi="Times New Roman" w:cs="Times New Roman"/>
                <w:sz w:val="24"/>
                <w:szCs w:val="24"/>
                <w:lang w:eastAsia="ru-RU"/>
              </w:rPr>
              <w:t>дільничого</w:t>
            </w:r>
            <w:proofErr w:type="spellEnd"/>
            <w:r w:rsidRPr="005D70FF">
              <w:rPr>
                <w:rFonts w:ascii="Times New Roman" w:eastAsia="Times New Roman" w:hAnsi="Times New Roman" w:cs="Times New Roman"/>
                <w:sz w:val="24"/>
                <w:szCs w:val="24"/>
                <w:lang w:eastAsia="ru-RU"/>
              </w:rPr>
              <w:t xml:space="preserve"> інспектора поліції.</w:t>
            </w:r>
          </w:p>
        </w:tc>
      </w:tr>
      <w:tr w:rsidR="005D70FF" w:rsidRPr="005D70FF" w:rsidTr="00EC3DE1">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lastRenderedPageBreak/>
              <w:t>7. Надання кожній 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володіє мовою, зрозумілою постраждалій особі,</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та забезпечення реалізації таких прав</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На кожне повідомлення/звернення щодо вчинення домашнього насильства та насильства за ознакою статі, під час здійснення заходів, постраждалій особі надається вичерпна інформація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 </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2) забезпечення надання допомоги постраждалим особам, включаючи недієздатних осіб,</w:t>
            </w:r>
            <w:r w:rsidRPr="005D70FF">
              <w:rPr>
                <w:rFonts w:ascii="Times New Roman" w:eastAsia="Times New Roman" w:hAnsi="Times New Roman" w:cs="Times New Roman"/>
                <w:sz w:val="24"/>
                <w:szCs w:val="24"/>
                <w:lang w:eastAsia="ru-RU"/>
              </w:rPr>
              <w:br/>
              <w:t>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У 2023 році від осіб з інвалідністю щодо вчинення домашнього насильства та насильства за ознакою статті, повідомлень не надходило. </w:t>
            </w:r>
          </w:p>
        </w:tc>
      </w:tr>
      <w:tr w:rsidR="005D70FF" w:rsidRPr="005D70FF" w:rsidTr="00EC3DE1">
        <w:trPr>
          <w:trHeight w:val="1735"/>
        </w:trPr>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3) забезпечення  здійснення в кожній територіальній громаді своєчасних та дієвих заходів щодо захисту прав та законних інтересів постраждалої дитини </w:t>
            </w:r>
          </w:p>
        </w:tc>
        <w:tc>
          <w:tcPr>
            <w:tcW w:w="1962" w:type="pct"/>
          </w:tcPr>
          <w:p w:rsidR="005D70FF" w:rsidRPr="005D70FF" w:rsidRDefault="005D70FF" w:rsidP="005D70FF">
            <w:pPr>
              <w:spacing w:after="160" w:line="259" w:lineRule="auto"/>
              <w:jc w:val="both"/>
              <w:rPr>
                <w:rFonts w:ascii="Times New Roman" w:eastAsia="Calibri" w:hAnsi="Times New Roman" w:cs="Times New Roman"/>
                <w:iCs/>
                <w:color w:val="FFFFFF"/>
                <w:sz w:val="24"/>
                <w:szCs w:val="24"/>
                <w:lang w:eastAsia="uk-UA"/>
              </w:rPr>
            </w:pPr>
            <w:r w:rsidRPr="005D70FF">
              <w:rPr>
                <w:rFonts w:ascii="Times New Roman" w:eastAsia="Calibri" w:hAnsi="Times New Roman" w:cs="Times New Roman"/>
                <w:iCs/>
                <w:sz w:val="24"/>
                <w:szCs w:val="24"/>
                <w:lang w:eastAsia="uk-UA"/>
              </w:rPr>
              <w:t xml:space="preserve">Спеціалісти служби у справах дітей взяли участь у </w:t>
            </w:r>
            <w:proofErr w:type="spellStart"/>
            <w:r w:rsidRPr="005D70FF">
              <w:rPr>
                <w:rFonts w:ascii="Times New Roman" w:eastAsia="Calibri" w:hAnsi="Times New Roman" w:cs="Times New Roman"/>
                <w:iCs/>
                <w:sz w:val="24"/>
                <w:szCs w:val="24"/>
                <w:lang w:eastAsia="uk-UA"/>
              </w:rPr>
              <w:t>вебінарі</w:t>
            </w:r>
            <w:proofErr w:type="spellEnd"/>
            <w:r w:rsidRPr="005D70FF">
              <w:rPr>
                <w:rFonts w:ascii="Times New Roman" w:eastAsia="Calibri" w:hAnsi="Times New Roman" w:cs="Times New Roman"/>
                <w:iCs/>
                <w:sz w:val="24"/>
                <w:szCs w:val="24"/>
                <w:lang w:eastAsia="uk-UA"/>
              </w:rPr>
              <w:t xml:space="preserve"> на тему: «Сексуальне насильство над дітьми в інтернеті для фахівців із психічного здоров’я».</w:t>
            </w:r>
          </w:p>
          <w:p w:rsidR="005D70FF" w:rsidRPr="005D70FF" w:rsidRDefault="005D70FF" w:rsidP="005D70FF">
            <w:pPr>
              <w:jc w:val="both"/>
              <w:rPr>
                <w:rFonts w:ascii="Calibri" w:eastAsia="Times New Roman" w:hAnsi="Calibri" w:cs="Times New Roman"/>
                <w:iCs/>
                <w:color w:val="FFFFFF"/>
                <w:sz w:val="28"/>
                <w:szCs w:val="20"/>
                <w:highlight w:val="red"/>
                <w:lang w:eastAsia="uk-UA"/>
              </w:rPr>
            </w:pPr>
          </w:p>
        </w:tc>
      </w:tr>
      <w:tr w:rsidR="005D70FF" w:rsidRPr="005D70FF" w:rsidTr="00EC3DE1">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8.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проведення аналізу потреб у створенні спеціалізованих служб підтримки постраждалих осіб відповідно до методики визначення потреб територіальних громад у таких службах</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Потреби у створенні спеціалізованих служб підтримки постраждалих осіб на території громади немає.</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2) створення спеціалізованих служб підтримки постраждалих осіб</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 У 2023 році спеціалізовані служби підтримки постраждалих осіб на території громади не створювались.</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3) забезпечення діяльності спеціалізованих служб підтримки постраждалих осіб (мобільних бригад соціально-психологічної допомоги, притулків, денних центрів соціально-психологічної допомоги/ спеціалізованих служб первинного соціально-психологічного консультування)</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Постраждалим від домашнього насильства надається інформація про загальні та спеціалізовані служби підтримки постраждалих осіб для отримання соціальних послуг медичної, соціальної, психологічної допомоги.</w:t>
            </w:r>
          </w:p>
          <w:p w:rsidR="005D70FF" w:rsidRPr="005D70FF" w:rsidRDefault="005D70FF" w:rsidP="005D70FF">
            <w:pPr>
              <w:rPr>
                <w:rFonts w:ascii="Calibri" w:eastAsia="Times New Roman" w:hAnsi="Calibri" w:cs="Times New Roman"/>
                <w:lang w:eastAsia="uk-UA"/>
              </w:rPr>
            </w:pPr>
          </w:p>
          <w:p w:rsidR="005D70FF" w:rsidRPr="005D70FF" w:rsidRDefault="005D70FF" w:rsidP="005D70FF">
            <w:pPr>
              <w:rPr>
                <w:rFonts w:ascii="Calibri" w:eastAsia="Times New Roman" w:hAnsi="Calibri" w:cs="Times New Roman"/>
                <w:lang w:eastAsia="uk-UA"/>
              </w:rPr>
            </w:pPr>
          </w:p>
        </w:tc>
      </w:tr>
      <w:tr w:rsidR="005D70FF" w:rsidRPr="005D70FF" w:rsidTr="00EC3DE1">
        <w:trPr>
          <w:trHeight w:val="5258"/>
        </w:trPr>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9. Забезпечення притягнення кривдника до відповідальності, передбаченої законом </w:t>
            </w: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інформування дитини, її батьків, інших законних представників про права дитини, заходи та послуги, якими вони можуть скористатися</w:t>
            </w:r>
          </w:p>
        </w:tc>
        <w:tc>
          <w:tcPr>
            <w:tcW w:w="1962" w:type="pct"/>
          </w:tcPr>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iCs/>
                <w:sz w:val="24"/>
                <w:szCs w:val="24"/>
              </w:rPr>
              <w:t xml:space="preserve">Спеціалістами служби у справах дітей спільно з </w:t>
            </w:r>
            <w:r w:rsidRPr="005D70FF">
              <w:rPr>
                <w:rFonts w:ascii="Times New Roman" w:eastAsia="Calibri" w:hAnsi="Times New Roman" w:cs="Times New Roman"/>
                <w:sz w:val="24"/>
                <w:szCs w:val="24"/>
              </w:rPr>
              <w:t>інспектором з ювенальної превенції Рівненського районного відділення поліції Рівненського відділу поліції Головного управління Національної поліції в Рівненській області, поліцейським офіцером громади в навчальних закладах Городоцької сільської ради проведено акції «16 днів проти насильства». Під час проведення акцій з учнями проведено індивідуальні профілактичні бесіди щодо недопущення скоєння насильства в сім’ї, а також про права дитини, заходи та послуги, якими вони можуть скористатися.</w:t>
            </w:r>
          </w:p>
          <w:p w:rsidR="005D70FF" w:rsidRPr="005D70FF" w:rsidRDefault="005D70FF" w:rsidP="005D70FF">
            <w:pPr>
              <w:jc w:val="both"/>
              <w:rPr>
                <w:rFonts w:ascii="Calibri" w:eastAsia="Times New Roman" w:hAnsi="Calibri" w:cs="Times New Roman"/>
                <w:sz w:val="28"/>
                <w:szCs w:val="28"/>
                <w:lang w:eastAsia="uk-UA"/>
              </w:rPr>
            </w:pP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2) запровадження інструментів проведення оцінки ризиків вчинення повторного правопорушення для планування профілактичної роботи з дітьми, зокрема з урахуванням гендерної складової</w:t>
            </w:r>
          </w:p>
        </w:tc>
        <w:tc>
          <w:tcPr>
            <w:tcW w:w="1962" w:type="pct"/>
          </w:tcPr>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xml:space="preserve">Для формування неупередженого ставлення до представників обох статей, розкриття проявів ґендерної нерівності у різних сферах життя, психологічною службою в    навчальних закладах громади було проведено: </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годину спілкування  "Ґендерна рівність";</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тренінгові заняття "Ми - за ґендерну рівність";</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"Рівні права і можливості для чоловіків і жінок";</w:t>
            </w:r>
          </w:p>
          <w:p w:rsidR="005D70FF" w:rsidRPr="005D70FF" w:rsidRDefault="005D70FF" w:rsidP="005D70FF">
            <w:pPr>
              <w:spacing w:after="0" w:line="240" w:lineRule="auto"/>
              <w:rPr>
                <w:rFonts w:ascii="Times New Roman" w:eastAsia="Calibri" w:hAnsi="Times New Roman" w:cs="Times New Roman"/>
                <w:sz w:val="24"/>
                <w:szCs w:val="24"/>
              </w:rPr>
            </w:pPr>
            <w:r w:rsidRPr="005D70FF">
              <w:rPr>
                <w:rFonts w:ascii="Times New Roman" w:eastAsia="Calibri" w:hAnsi="Times New Roman" w:cs="Times New Roman"/>
                <w:sz w:val="24"/>
                <w:szCs w:val="24"/>
              </w:rPr>
              <w:t>- «Домашнє насильство: що ми знаємо?»;</w:t>
            </w:r>
          </w:p>
          <w:p w:rsidR="005D70FF" w:rsidRPr="005D70FF" w:rsidRDefault="005D70FF" w:rsidP="005D70FF">
            <w:pPr>
              <w:spacing w:after="0" w:line="240" w:lineRule="auto"/>
              <w:rPr>
                <w:rFonts w:ascii="Calibri" w:eastAsia="Calibri" w:hAnsi="Calibri" w:cs="Times New Roman"/>
                <w:shd w:val="clear" w:color="auto" w:fill="FFFFFF"/>
                <w:lang w:eastAsia="zh-CN"/>
              </w:rPr>
            </w:pPr>
            <w:r w:rsidRPr="005D70FF">
              <w:rPr>
                <w:rFonts w:ascii="Times New Roman" w:eastAsia="Calibri" w:hAnsi="Times New Roman" w:cs="Times New Roman"/>
                <w:sz w:val="24"/>
                <w:szCs w:val="24"/>
              </w:rPr>
              <w:lastRenderedPageBreak/>
              <w:t>З учнями початкової школи проведено спілкування з елементами гри "Всі ми різні, всі ми рівні".</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3) забезпечення виконання рішень судів про проходження програм для кривдників</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У звітному періоді програми для кривдників не розроблялися.</w:t>
            </w:r>
          </w:p>
        </w:tc>
      </w:tr>
      <w:tr w:rsidR="005D70FF" w:rsidRPr="005D70FF" w:rsidTr="00EC3DE1">
        <w:trPr>
          <w:trHeight w:val="3736"/>
        </w:trPr>
        <w:tc>
          <w:tcPr>
            <w:tcW w:w="1411" w:type="pct"/>
            <w:vMerge w:val="restar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10. Здійснення заходів щодо зміни моделі поведінки кривдника  на соціально прийнятну</w:t>
            </w:r>
          </w:p>
        </w:tc>
        <w:tc>
          <w:tcPr>
            <w:tcW w:w="1627" w:type="pct"/>
          </w:tcPr>
          <w:p w:rsidR="005D70FF" w:rsidRPr="005D70FF" w:rsidRDefault="005D70FF" w:rsidP="005D70FF">
            <w:pPr>
              <w:spacing w:after="0" w:line="240" w:lineRule="auto"/>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1) забезпечення уповноваженим підрозділом органу Національної поліції взяття на профілактичний облік кривдника з моменту виявлення факту вчинення ним домашнього насильства та/або насильства за ознакою статі на встановлений законодавством строк і проведення з ним профілактичної роботи відповідно до законодавства</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Підрозділом органу Національної поліції взяття на профілактичний облік кривдника з моменту виявлення факту вчинення ним домашнього насильства та/або насильства за ознакою статі на встановлений законодавством строк і проведення з ним профілактичної роботи відповідно до законодавства забезпечується.</w:t>
            </w:r>
          </w:p>
        </w:tc>
      </w:tr>
      <w:tr w:rsidR="005D70FF" w:rsidRPr="005D70FF" w:rsidTr="00EC3DE1">
        <w:tc>
          <w:tcPr>
            <w:tcW w:w="1411" w:type="pct"/>
            <w:vMerge/>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p>
        </w:tc>
        <w:tc>
          <w:tcPr>
            <w:tcW w:w="1627"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2) забезпечення проходження </w:t>
            </w:r>
            <w:proofErr w:type="spellStart"/>
            <w:r w:rsidRPr="005D70FF">
              <w:rPr>
                <w:rFonts w:ascii="Times New Roman" w:eastAsia="Times New Roman" w:hAnsi="Times New Roman" w:cs="Times New Roman"/>
                <w:sz w:val="24"/>
                <w:szCs w:val="24"/>
                <w:lang w:eastAsia="ru-RU"/>
              </w:rPr>
              <w:t>пробаційних</w:t>
            </w:r>
            <w:proofErr w:type="spellEnd"/>
            <w:r w:rsidRPr="005D70FF">
              <w:rPr>
                <w:rFonts w:ascii="Times New Roman" w:eastAsia="Times New Roman" w:hAnsi="Times New Roman" w:cs="Times New Roman"/>
                <w:sz w:val="24"/>
                <w:szCs w:val="24"/>
                <w:lang w:eastAsia="ru-RU"/>
              </w:rPr>
              <w:t xml:space="preserve"> програм відповідно до пункту 4 частини третьої статті 76 Кримінального кодексу України у разі покладення судом відповідного обов’язку на кривдника, зокрема на дитину-кривдника</w:t>
            </w:r>
          </w:p>
        </w:tc>
        <w:tc>
          <w:tcPr>
            <w:tcW w:w="1962" w:type="pct"/>
          </w:tcPr>
          <w:p w:rsidR="005D70FF" w:rsidRPr="005D70FF" w:rsidRDefault="005D70FF" w:rsidP="005D70FF">
            <w:pPr>
              <w:spacing w:after="0" w:line="240" w:lineRule="auto"/>
              <w:jc w:val="both"/>
              <w:rPr>
                <w:rFonts w:ascii="Times New Roman" w:eastAsia="Times New Roman" w:hAnsi="Times New Roman" w:cs="Times New Roman"/>
                <w:sz w:val="24"/>
                <w:szCs w:val="24"/>
                <w:lang w:eastAsia="ru-RU"/>
              </w:rPr>
            </w:pPr>
            <w:r w:rsidRPr="005D70FF">
              <w:rPr>
                <w:rFonts w:ascii="Times New Roman" w:eastAsia="Times New Roman" w:hAnsi="Times New Roman" w:cs="Times New Roman"/>
                <w:sz w:val="24"/>
                <w:szCs w:val="24"/>
                <w:lang w:eastAsia="ru-RU"/>
              </w:rPr>
              <w:t xml:space="preserve">Повідомлень до сільської ради про кривдника, зокрема кривдника-дитину на проходження </w:t>
            </w:r>
            <w:proofErr w:type="spellStart"/>
            <w:r w:rsidRPr="005D70FF">
              <w:rPr>
                <w:rFonts w:ascii="Times New Roman" w:eastAsia="Times New Roman" w:hAnsi="Times New Roman" w:cs="Times New Roman"/>
                <w:sz w:val="24"/>
                <w:szCs w:val="24"/>
                <w:lang w:eastAsia="ru-RU"/>
              </w:rPr>
              <w:t>пробаційних</w:t>
            </w:r>
            <w:proofErr w:type="spellEnd"/>
            <w:r w:rsidRPr="005D70FF">
              <w:rPr>
                <w:rFonts w:ascii="Times New Roman" w:eastAsia="Times New Roman" w:hAnsi="Times New Roman" w:cs="Times New Roman"/>
                <w:sz w:val="24"/>
                <w:szCs w:val="24"/>
                <w:lang w:eastAsia="ru-RU"/>
              </w:rPr>
              <w:t xml:space="preserve"> програм відповідно до пункту 4 частини третьої статті 76 Кримінального кодексу України у разі покладення судом відповідного обов’язку не надходило.</w:t>
            </w:r>
          </w:p>
        </w:tc>
      </w:tr>
    </w:tbl>
    <w:p w:rsidR="005D70FF" w:rsidRPr="005D70FF" w:rsidRDefault="005D70FF" w:rsidP="005D70FF">
      <w:pPr>
        <w:tabs>
          <w:tab w:val="left" w:pos="2865"/>
        </w:tabs>
        <w:jc w:val="both"/>
        <w:rPr>
          <w:rFonts w:ascii="Calibri" w:eastAsia="Times New Roman" w:hAnsi="Calibri" w:cs="Times New Roman"/>
          <w:lang w:eastAsia="uk-UA"/>
        </w:rPr>
      </w:pPr>
    </w:p>
    <w:p w:rsidR="005D70FF" w:rsidRPr="005D70FF" w:rsidRDefault="005D70FF" w:rsidP="005D70FF">
      <w:pPr>
        <w:tabs>
          <w:tab w:val="left" w:pos="2865"/>
        </w:tabs>
        <w:jc w:val="both"/>
        <w:rPr>
          <w:rFonts w:ascii="Calibri" w:eastAsia="Times New Roman" w:hAnsi="Calibri" w:cs="Times New Roman"/>
          <w:lang w:eastAsia="uk-UA"/>
        </w:rPr>
      </w:pPr>
    </w:p>
    <w:p w:rsidR="005D70FF" w:rsidRPr="005D70FF" w:rsidRDefault="005D70FF" w:rsidP="005D70FF">
      <w:pPr>
        <w:rPr>
          <w:rFonts w:ascii="Times New Roman" w:eastAsia="Times New Roman" w:hAnsi="Times New Roman" w:cs="Times New Roman"/>
          <w:sz w:val="28"/>
          <w:szCs w:val="28"/>
          <w:lang w:eastAsia="uk-UA"/>
        </w:rPr>
      </w:pPr>
      <w:r w:rsidRPr="005D70FF">
        <w:rPr>
          <w:rFonts w:ascii="Times New Roman" w:eastAsia="Times New Roman" w:hAnsi="Times New Roman" w:cs="Times New Roman"/>
          <w:sz w:val="28"/>
          <w:szCs w:val="28"/>
          <w:lang w:eastAsia="uk-UA"/>
        </w:rPr>
        <w:t>Секретар сільської ради                                                               Людмила СПІВАК</w:t>
      </w:r>
    </w:p>
    <w:p w:rsidR="00287371" w:rsidRDefault="00287371">
      <w:bookmarkStart w:id="0" w:name="_GoBack"/>
      <w:bookmarkEnd w:id="0"/>
    </w:p>
    <w:sectPr w:rsidR="00287371" w:rsidSect="00AB34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FF"/>
    <w:rsid w:val="001F15C3"/>
    <w:rsid w:val="00237993"/>
    <w:rsid w:val="00287371"/>
    <w:rsid w:val="00353EDC"/>
    <w:rsid w:val="005D70FF"/>
    <w:rsid w:val="009235BB"/>
    <w:rsid w:val="00984E23"/>
    <w:rsid w:val="00AB348D"/>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EDD8F-621A-4E90-A80A-3EB10DD8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13554</Words>
  <Characters>7727</Characters>
  <Application>Microsoft Office Word</Application>
  <DocSecurity>0</DocSecurity>
  <Lines>64</Lines>
  <Paragraphs>42</Paragraphs>
  <ScaleCrop>false</ScaleCrop>
  <Company>SPecialiST RePack</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2024-07-04T06:26:00Z</dcterms:created>
  <dcterms:modified xsi:type="dcterms:W3CDTF">2024-07-04T06:26:00Z</dcterms:modified>
</cp:coreProperties>
</file>