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88C7CAC" w:rsidR="001950EF" w:rsidRDefault="001950EF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______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5A90BF90" w14:textId="74F8D41D" w:rsidR="00E50B17" w:rsidRDefault="00E50B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08EE5C4B" w14:textId="3B57512F" w:rsidR="00F92E6E" w:rsidRDefault="00F92E6E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1FD24ACC" w14:textId="77777777" w:rsidR="00F92E6E" w:rsidRDefault="00F92E6E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6238B5BA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9E2ACC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29BCF3C8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Ярощук</w:t>
      </w:r>
      <w:proofErr w:type="spellEnd"/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Євстафіївни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 Залізнична, 12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51D8FC6B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650C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801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5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28668816"/>
      <w:proofErr w:type="spellStart"/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Ярощук</w:t>
      </w:r>
      <w:proofErr w:type="spellEnd"/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Євстафіївні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с. 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6"/>
    </w:p>
    <w:p w14:paraId="692CC119" w14:textId="77777777" w:rsidR="00F92E6E" w:rsidRDefault="00F92E6E" w:rsidP="00F92E6E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09A86" w14:textId="46D9FBA6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у власність </w:t>
      </w:r>
      <w:r w:rsidR="006D7B3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6D7B3E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Ярощук</w:t>
      </w:r>
      <w:proofErr w:type="spellEnd"/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Євстафіївні</w:t>
      </w:r>
      <w:r w:rsidR="00D473F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1801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7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7"/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в с. Рогачів, вул. Залізнична, 12 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4AD8EF7A" w:rsidR="001950EF" w:rsidRDefault="006D7B3E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Ярощук</w:t>
      </w:r>
      <w:proofErr w:type="spellEnd"/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Євстафіївні</w:t>
      </w:r>
      <w:r w:rsidR="00D473F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8668000"/>
      <w:bookmarkStart w:id="9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8408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0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0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8408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1950E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0E4D6BB2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650C3C" w:rsidRPr="00650C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D473F2" w:rsidRPr="00650C3C">
        <w:rPr>
          <w:rFonts w:ascii="Times New Roman" w:eastAsia="Times New Roman" w:hAnsi="Times New Roman"/>
          <w:sz w:val="28"/>
          <w:szCs w:val="28"/>
          <w:lang w:eastAsia="ru-RU"/>
        </w:rPr>
        <w:t>трав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D473F2" w:rsidRPr="00650C3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50C3C" w:rsidRPr="00650C3C">
        <w:rPr>
          <w:rFonts w:ascii="Times New Roman" w:eastAsia="Times New Roman" w:hAnsi="Times New Roman"/>
          <w:sz w:val="28"/>
          <w:szCs w:val="28"/>
          <w:lang w:eastAsia="ru-RU"/>
        </w:rPr>
        <w:t>501</w:t>
      </w:r>
      <w:r w:rsidRPr="00650C3C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6D7B3E" w:rsidRPr="00650C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6D7B3E" w:rsidRPr="00650C3C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E8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485E8E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Ярощук</w:t>
      </w:r>
      <w:proofErr w:type="spellEnd"/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 xml:space="preserve"> Євстафіївн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473F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1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2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3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4" w:name="_Hlk87714306"/>
      <w:bookmarkEnd w:id="11"/>
      <w:bookmarkEnd w:id="12"/>
      <w:bookmarkEnd w:id="13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1801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5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Залізнична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4"/>
      <w:bookmarkEnd w:id="15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000AA0BF" w:rsidR="00005D3F" w:rsidRDefault="001950EF" w:rsidP="00005D3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BE2C4F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E2C4F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6" w:name="_Hlk166850951"/>
      <w:proofErr w:type="spellStart"/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Ярощук</w:t>
      </w:r>
      <w:proofErr w:type="spellEnd"/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Євстафіївні</w:t>
      </w:r>
      <w:r w:rsidR="00BE2C4F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Залізнична, 12 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від 01 серпня 2022 року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>Свідоцтва про право власності на нерухоме майно від 09 серпня 2005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видане на підставі рішення виконавчого комітету сільської ради від 29 липня 2005 року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права власності 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нерухоме майно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листопада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номер витягу: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9064979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:11662195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12 лютого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1950EF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1950EF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61D444AF" w:rsidR="00391E5B" w:rsidRDefault="001950EF" w:rsidP="00391E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485E8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ці </w:t>
      </w:r>
      <w:proofErr w:type="spellStart"/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Ярощук</w:t>
      </w:r>
      <w:proofErr w:type="spellEnd"/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Євстафіївні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1801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Залізничн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1801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 га 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Рогачів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2666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Залізнична</w:t>
      </w:r>
      <w:r w:rsidR="005A1B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31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proofErr w:type="spellStart"/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Ярощук</w:t>
      </w:r>
      <w:proofErr w:type="spellEnd"/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Євстафіївні.</w:t>
      </w:r>
    </w:p>
    <w:p w14:paraId="58E43B09" w14:textId="77777777" w:rsidR="00BE2C4F" w:rsidRDefault="00BE2C4F" w:rsidP="00391E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BE2C4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>.</w:t>
      </w:r>
    </w:p>
    <w:p w14:paraId="6717A28F" w14:textId="4B36B426" w:rsidR="001950EF" w:rsidRDefault="001950EF" w:rsidP="001950EF">
      <w:pPr>
        <w:tabs>
          <w:tab w:val="left" w:pos="1134"/>
          <w:tab w:val="left" w:pos="1985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1950EF">
      <w:pPr>
        <w:tabs>
          <w:tab w:val="left" w:pos="1134"/>
          <w:tab w:val="left" w:pos="1985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1950EF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1950E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46B9B5D1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5D80DBD4" w14:textId="77777777" w:rsidR="00BE2C4F" w:rsidRDefault="00BE2C4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1950EF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lastRenderedPageBreak/>
        <w:t>Місцевий аспект.</w:t>
      </w:r>
    </w:p>
    <w:p w14:paraId="600058E7" w14:textId="483ED208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8408FA" w:rsidRDefault="00574EB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1950EF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4C9118C2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756FA609" w14:textId="77777777" w:rsidR="00574EBE" w:rsidRPr="008408FA" w:rsidRDefault="00574EB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8408FA" w:rsidRDefault="001950EF" w:rsidP="001950E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ADB49AF" w:rsidR="001950EF" w:rsidRPr="008408FA" w:rsidRDefault="001950EF" w:rsidP="001950EF">
      <w:pPr>
        <w:tabs>
          <w:tab w:val="left" w:pos="1985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кою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1950EF">
      <w:pPr>
        <w:tabs>
          <w:tab w:val="left" w:pos="1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1950EF">
      <w:pPr>
        <w:tabs>
          <w:tab w:val="left" w:pos="1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1950EF">
      <w:pPr>
        <w:tabs>
          <w:tab w:val="left" w:pos="1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>
            <w:pPr>
              <w:spacing w:after="0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1950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E5FFA" w14:textId="77777777" w:rsidR="00F92E6E" w:rsidRPr="008408FA" w:rsidRDefault="00F92E6E" w:rsidP="001950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63A73" w14:textId="77777777" w:rsidR="001950EF" w:rsidRPr="008408FA" w:rsidRDefault="001950EF" w:rsidP="001950EF">
      <w:pPr>
        <w:spacing w:after="0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1950EF">
      <w:pPr>
        <w:spacing w:after="0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2F8D3C6F" w14:textId="4B6195D5" w:rsidR="001950EF" w:rsidRPr="00574EBE" w:rsidRDefault="001950EF" w:rsidP="001950EF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p w14:paraId="58543C06" w14:textId="77777777" w:rsidR="001950EF" w:rsidRPr="008408FA" w:rsidRDefault="001950EF" w:rsidP="001950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F99E2" w14:textId="77777777" w:rsidR="001950EF" w:rsidRPr="008408FA" w:rsidRDefault="001950EF" w:rsidP="001950EF">
      <w:pPr>
        <w:spacing w:after="0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14:paraId="4A0F3590" w14:textId="77777777" w:rsidR="001950EF" w:rsidRPr="008408FA" w:rsidRDefault="001950EF" w:rsidP="001950E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86B393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7EA3D535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</w:p>
    <w:p w14:paraId="6E37450B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</w:p>
    <w:p w14:paraId="59609B53" w14:textId="77777777" w:rsidR="00EB503E" w:rsidRPr="008408FA" w:rsidRDefault="00EB503E"/>
    <w:sectPr w:rsidR="00EB503E" w:rsidRPr="008408F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FC2E5" w14:textId="77777777" w:rsidR="00170072" w:rsidRDefault="00170072" w:rsidP="00265F26">
      <w:pPr>
        <w:spacing w:after="0" w:line="240" w:lineRule="auto"/>
      </w:pPr>
      <w:r>
        <w:separator/>
      </w:r>
    </w:p>
  </w:endnote>
  <w:endnote w:type="continuationSeparator" w:id="0">
    <w:p w14:paraId="7B8C9310" w14:textId="77777777" w:rsidR="00170072" w:rsidRDefault="00170072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4496D" w14:textId="77777777" w:rsidR="00170072" w:rsidRDefault="00170072" w:rsidP="00265F26">
      <w:pPr>
        <w:spacing w:after="0" w:line="240" w:lineRule="auto"/>
      </w:pPr>
      <w:r>
        <w:separator/>
      </w:r>
    </w:p>
  </w:footnote>
  <w:footnote w:type="continuationSeparator" w:id="0">
    <w:p w14:paraId="19D7CDA6" w14:textId="77777777" w:rsidR="00170072" w:rsidRDefault="00170072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DF8"/>
    <w:rsid w:val="00077FF6"/>
    <w:rsid w:val="000D1DDD"/>
    <w:rsid w:val="000E079E"/>
    <w:rsid w:val="0012368D"/>
    <w:rsid w:val="00170072"/>
    <w:rsid w:val="001950EF"/>
    <w:rsid w:val="0025183F"/>
    <w:rsid w:val="0026313E"/>
    <w:rsid w:val="00264DCC"/>
    <w:rsid w:val="00265F26"/>
    <w:rsid w:val="0026669C"/>
    <w:rsid w:val="00281FD6"/>
    <w:rsid w:val="002B098B"/>
    <w:rsid w:val="002B1E03"/>
    <w:rsid w:val="00307EF6"/>
    <w:rsid w:val="0036521E"/>
    <w:rsid w:val="00374930"/>
    <w:rsid w:val="00391E5B"/>
    <w:rsid w:val="00485E8E"/>
    <w:rsid w:val="004A5B47"/>
    <w:rsid w:val="004C7C40"/>
    <w:rsid w:val="004D73BE"/>
    <w:rsid w:val="00574EBE"/>
    <w:rsid w:val="005A1B71"/>
    <w:rsid w:val="00606B2F"/>
    <w:rsid w:val="00630ED6"/>
    <w:rsid w:val="00641358"/>
    <w:rsid w:val="00650C3C"/>
    <w:rsid w:val="006816ED"/>
    <w:rsid w:val="00686EA6"/>
    <w:rsid w:val="006D7B3E"/>
    <w:rsid w:val="00737FB6"/>
    <w:rsid w:val="00740961"/>
    <w:rsid w:val="0074210D"/>
    <w:rsid w:val="00774743"/>
    <w:rsid w:val="007E13FA"/>
    <w:rsid w:val="00824AEE"/>
    <w:rsid w:val="008408FA"/>
    <w:rsid w:val="00861F84"/>
    <w:rsid w:val="00870400"/>
    <w:rsid w:val="008F1FCC"/>
    <w:rsid w:val="009261D3"/>
    <w:rsid w:val="00943319"/>
    <w:rsid w:val="009E2ACC"/>
    <w:rsid w:val="00A2456E"/>
    <w:rsid w:val="00A27430"/>
    <w:rsid w:val="00A62599"/>
    <w:rsid w:val="00A74DDB"/>
    <w:rsid w:val="00AD1F4C"/>
    <w:rsid w:val="00AD6E55"/>
    <w:rsid w:val="00B071DE"/>
    <w:rsid w:val="00B51AD5"/>
    <w:rsid w:val="00BB3839"/>
    <w:rsid w:val="00BB39C5"/>
    <w:rsid w:val="00BE2C4F"/>
    <w:rsid w:val="00BE7769"/>
    <w:rsid w:val="00C527DE"/>
    <w:rsid w:val="00C57C70"/>
    <w:rsid w:val="00CB3216"/>
    <w:rsid w:val="00CE2872"/>
    <w:rsid w:val="00D473F2"/>
    <w:rsid w:val="00DA6027"/>
    <w:rsid w:val="00DB17BB"/>
    <w:rsid w:val="00DD1F99"/>
    <w:rsid w:val="00DE39F9"/>
    <w:rsid w:val="00E50B17"/>
    <w:rsid w:val="00EA57D5"/>
    <w:rsid w:val="00EA5C6F"/>
    <w:rsid w:val="00EB503E"/>
    <w:rsid w:val="00EB622E"/>
    <w:rsid w:val="00EF28DF"/>
    <w:rsid w:val="00EF3506"/>
    <w:rsid w:val="00F41211"/>
    <w:rsid w:val="00F92E6E"/>
    <w:rsid w:val="00FA53B3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5321</Words>
  <Characters>3033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23</cp:revision>
  <cp:lastPrinted>2023-09-05T07:39:00Z</cp:lastPrinted>
  <dcterms:created xsi:type="dcterms:W3CDTF">2023-03-02T14:58:00Z</dcterms:created>
  <dcterms:modified xsi:type="dcterms:W3CDTF">2024-05-17T12:09:00Z</dcterms:modified>
</cp:coreProperties>
</file>