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3A" w:rsidRPr="00796E3A" w:rsidRDefault="00796E3A" w:rsidP="00796E3A">
      <w:pPr>
        <w:tabs>
          <w:tab w:val="left" w:pos="68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6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ІНФОРМАЦІЯ</w:t>
      </w:r>
    </w:p>
    <w:p w:rsidR="00796E3A" w:rsidRPr="00796E3A" w:rsidRDefault="00796E3A" w:rsidP="00796E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6E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796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роботу закладів охорони здоров</w:t>
      </w:r>
      <w:r w:rsidRPr="00796E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796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 на території сільської ради.</w:t>
      </w:r>
    </w:p>
    <w:p w:rsidR="00796E3A" w:rsidRPr="00796E3A" w:rsidRDefault="00796E3A" w:rsidP="00796E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На території сільської ради надають медичну допомогу 3 амбулаторії загальної практики-сімейної медицини в селах Городок,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</w:rPr>
        <w:t>Обарів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</w:rPr>
        <w:t>Карпилівка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 та 5 фельдшерсько-акушерських пунктів в селах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</w:rPr>
        <w:t>Метків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, Ставки,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</w:rPr>
        <w:t>Бронники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</w:rPr>
        <w:t>Білівські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 Хутори, Рогачів.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Працює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6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лікарів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5,5 ставки (з них 1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мобілізований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ЗСУ) та </w:t>
      </w: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17</w:t>
      </w:r>
      <w:r w:rsidRPr="00796E3A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медичних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сестер (з них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1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перебуває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 лавах ЗСУ) та 8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допоміжного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персоналу. </w:t>
      </w:r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Станом на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сьогодні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повністю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відповідає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вимогам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будівлі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лише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Карпилівська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амбулаторія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практики-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сімейної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медицини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На жаль, 1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вересня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звільнилась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фельдшер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ФАПу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Білівські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Хутори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У цьому році проведений частковий ремонт туалету Городоцької амбулаторії загальної практики-сімейної медицини та проводиться ремонт під приміщення для адміністрації </w:t>
      </w: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КНП «Центр ПМСД «Медичний простір» </w:t>
      </w:r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і кабінету сімейного лікаря Обарівської амбулаторії загальної практики-сімейної медицини.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Всі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амбулаторії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забезпечені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бензогенераторами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резервним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пальним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З 3-х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амбулаторій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практики-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сімейної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медицини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лише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одна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забезпечена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санітарним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транспортом.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Амбулаторії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ФАПи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забезпечені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медичним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інвентарем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обладнанням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 табелем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оснащень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Холодильне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обладнання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нове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ним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забезпечений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кожен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структурний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підрозділ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підприємства</w:t>
      </w:r>
      <w:proofErr w:type="spellEnd"/>
      <w:proofErr w:type="gram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. КНП «Центр ПМСД «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Медичний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простір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підписаний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договір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НСЗУ по 3 пакетам («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Первинна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медична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допомога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», «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Мобільна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паліативна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допомога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дорослим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дітям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» «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Лікування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супровід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хворих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туберкульоз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амбулаторному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етапі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»).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Лікарями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громади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укладено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8 718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декларацій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лікарях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Максимов В.В. – 1 988;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Кондратюк В.Р. – 1 943;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Бабій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І.М. – 1 697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Коваленко О.В. – 1 398;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Макавчук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Д.Ю. – 1 174;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Юрчик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Т.Г. – 518.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6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місяців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2023 року в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амбулаторіях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загальної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практики-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сімейної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медицини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було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зроблено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9377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відвідувань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з них: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відвідувань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 приводу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захворювань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дорослих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– 6068;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відвідувань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 приводу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захворювань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– 1700;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відвідувань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дому – 827.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Крім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того, на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ФАПи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було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- 1568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звернень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на дому - 578.</w:t>
      </w: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ПОКАЗНИКИ ЗДОРОВ’Я НАСЕЛЕННЯ</w:t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Демографічні</w:t>
      </w:r>
      <w:proofErr w:type="spellEnd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дані</w:t>
      </w:r>
      <w:proofErr w:type="spellEnd"/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 6 </w:t>
      </w:r>
      <w:proofErr w:type="spellStart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місяців</w:t>
      </w:r>
      <w:proofErr w:type="spellEnd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2023 року.</w:t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22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985"/>
        <w:gridCol w:w="1274"/>
        <w:gridCol w:w="1357"/>
        <w:gridCol w:w="983"/>
        <w:gridCol w:w="1274"/>
      </w:tblGrid>
      <w:tr w:rsidR="00796E3A" w:rsidRPr="00796E3A" w:rsidTr="00990CAE">
        <w:trPr>
          <w:trHeight w:val="2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показника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</w:t>
            </w:r>
          </w:p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 Район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2022 .</w:t>
            </w:r>
            <w:proofErr w:type="gramEnd"/>
          </w:p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2022</w:t>
            </w:r>
          </w:p>
          <w:p w:rsidR="00796E3A" w:rsidRPr="00796E3A" w:rsidRDefault="00796E3A" w:rsidP="00796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Район</w:t>
            </w:r>
          </w:p>
        </w:tc>
      </w:tr>
      <w:tr w:rsidR="00796E3A" w:rsidRPr="00796E3A" w:rsidTr="00990CAE">
        <w:trPr>
          <w:trHeight w:val="3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Народжуваність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1000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796E3A" w:rsidRPr="00796E3A" w:rsidTr="00990CAE">
        <w:trPr>
          <w:trHeight w:val="5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Загальна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смертність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1000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5,1</w:t>
            </w:r>
          </w:p>
        </w:tc>
      </w:tr>
      <w:tr w:rsidR="00796E3A" w:rsidRPr="00796E3A" w:rsidTr="00990CAE">
        <w:trPr>
          <w:trHeight w:val="5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Малюкова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смертність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1000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народжених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6E3A" w:rsidRPr="00796E3A" w:rsidTr="00990CAE">
        <w:trPr>
          <w:trHeight w:val="4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Материнська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смертність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6E3A" w:rsidRPr="00796E3A" w:rsidTr="00990CAE">
        <w:trPr>
          <w:trHeight w:val="4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Природній</w:t>
            </w:r>
            <w:proofErr w:type="spellEnd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приріст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+0,6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-1,1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3A" w:rsidRPr="00796E3A" w:rsidRDefault="00796E3A" w:rsidP="00796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6E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-1,7</w:t>
            </w:r>
          </w:p>
        </w:tc>
      </w:tr>
    </w:tbl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Показник загальної захворюваності по ОТГ всього за 6 місяців 2023 року – 323,2. 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Показник загальної захворюваності по території обслуговування підприємства всього – 349,7. 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Показник захворюваності серед дорослого населення всього 266,1, з якого на: 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першому місці - хвороби органів дихання – 75%; 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другому місці - травми та отруєння – 14%; 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третьому місці - хвороби ендокринної системи – 11%.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Показник захворюваності серед дитячого населення всього – 474,2, з якого на: 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першому місці - хвороби органів дихання – 85%; 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другому місці - травми та отруєння  – 11%;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третьому місці - хвороби ока – 4%.</w:t>
      </w: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Загальна</w:t>
      </w:r>
      <w:proofErr w:type="spellEnd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захворюваність</w:t>
      </w:r>
      <w:proofErr w:type="spellEnd"/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ABF241B" wp14:editId="21D90663">
            <wp:extent cx="4294716" cy="2531534"/>
            <wp:effectExtent l="19050" t="0" r="10584" b="2116"/>
            <wp:docPr id="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Показник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захворюваності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серед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дитячого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населення</w:t>
      </w:r>
      <w:proofErr w:type="spellEnd"/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796E3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DD6D0FE" wp14:editId="551C6F9F">
            <wp:extent cx="3676650" cy="2142067"/>
            <wp:effectExtent l="19050" t="0" r="1905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Захворюваність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інсульти</w:t>
      </w:r>
      <w:proofErr w:type="spellEnd"/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EF30E50" wp14:editId="0D78EDF4">
            <wp:extent cx="4391025" cy="1933575"/>
            <wp:effectExtent l="19050" t="0" r="9525" b="0"/>
            <wp:docPr id="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Захворюваність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інфаркти</w:t>
      </w:r>
      <w:proofErr w:type="spellEnd"/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34D69C7" wp14:editId="7BDFE3B6">
            <wp:extent cx="4117721" cy="2846832"/>
            <wp:effectExtent l="19050" t="0" r="16129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Первинний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вакцинальний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комплекс</w:t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72FB706" wp14:editId="5C8D4F66">
            <wp:extent cx="4250309" cy="1993392"/>
            <wp:effectExtent l="19050" t="0" r="16891" b="6858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Щеплення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дорослого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населення</w:t>
      </w:r>
      <w:proofErr w:type="spellEnd"/>
      <w:r w:rsidRPr="00796E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АДП-м</w:t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42BDD50" wp14:editId="11D61710">
            <wp:extent cx="4165600" cy="1822704"/>
            <wp:effectExtent l="19050" t="0" r="25400" b="6096"/>
            <wp:docPr id="6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proofErr w:type="spellStart"/>
      <w:r w:rsidRPr="00796E3A">
        <w:rPr>
          <w:rFonts w:ascii="Times New Roman" w:eastAsia="Calibri" w:hAnsi="Times New Roman" w:cs="Times New Roman"/>
          <w:b/>
          <w:color w:val="0F243E"/>
          <w:sz w:val="28"/>
          <w:szCs w:val="28"/>
          <w:lang w:val="ru-RU"/>
        </w:rPr>
        <w:t>Фінансування</w:t>
      </w:r>
      <w:proofErr w:type="spellEnd"/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За 8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місяців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2023 року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консолідований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дохід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КНП «Центр ПМСД «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Медичний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простір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» становив 43266671,11 грн., з них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НСЗУ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профінансовано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33117022,64 грн. (76,5%),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кошти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територіальних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громад – 9162830,02 грн. (21,2%), з них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кошти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Городоцької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територіальної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громади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становлять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1582642,02 грн. (з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врахуванням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відшкодування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пільгових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рецептів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становить - 3,7%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всього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бюджету КНП «Центр ПМСД «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Медичний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простір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».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Крім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того, за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рахунок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платних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послуг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оренди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грошових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надходжень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КНП «Центр ПМСД «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Медичний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простір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заробило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986818,44 грн. (2,2%).</w:t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D3F81D9" wp14:editId="68655525">
            <wp:extent cx="3799416" cy="1773555"/>
            <wp:effectExtent l="19050" t="0" r="10584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2805B30" wp14:editId="613705BF">
            <wp:extent cx="3982339" cy="2168906"/>
            <wp:effectExtent l="19050" t="0" r="18161" b="2794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Як видно зі слайда, найбільше коштів КНП «Центр ПМСД «Медичний простір» отримало від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Шпанівської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- 26% від всієї суми, далі від Городоцької сільської ради – 22,6%, від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Корнинської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– 14%, від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Клеванської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селищної ради – 13,1%, від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Білокриницької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– 11,6%, від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Зорянської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– 8,3%, від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Великоомелянської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– 2,9%, від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Дядьковицької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– 1,5%.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За 8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місяців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2023 року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використано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коштів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Городоцької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1397495,69 грн. (за 8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місяців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2022 року – 710347,20 грн.).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Кошти спрямовані: на комунальні послуги – 527163,85 грн., матеріальне стимулювання медичних працівників – 155133,87 грн., на придбання бензину – 50710,00 грн., для проведення ремонту вбиральні Городоцької амбулаторії загальної практики-сімейної медицини – 199937,27 грн., на придбання будівельних матеріалів для Обарівської амбулаторії загальної практики-сімейної медицини – 443250,70 грн., на придбання дров – 20480,00 грн., на придбання вогнегасників - 820,00 грн.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кошти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спеціального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фонду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було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придбано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два ноутбуки для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лікарів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амбулаторій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– 59270,00 грн.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громади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пільговими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ліками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 8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місяців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2023 року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було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використано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- 70500,40 грн.,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придбання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підгузків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- 34624,88 грн. (разом 105125,28 грн.). За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аналогічний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період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минулого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року – 88305,31 грн.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Нашим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підприємством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сплачено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 бюджету</w:t>
      </w:r>
      <w:proofErr w:type="gram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Городоцької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територіальної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громади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податок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 8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місяців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2023 року на суму 1090721,75 грн. </w:t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Проблемні</w:t>
      </w:r>
      <w:proofErr w:type="spellEnd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питання</w:t>
      </w:r>
      <w:proofErr w:type="spellEnd"/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796E3A" w:rsidRPr="00796E3A" w:rsidRDefault="00796E3A" w:rsidP="00796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796E3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Городоцька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амбулаторія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практики-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сімейної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медицини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потребує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поточного ремонту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всіх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ФАП села Бронники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потребує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поточного ремонту.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покращення обслуговування сільського населення необхідно закупити санітарний автомобіль в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Обарівську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амбулаторію</w:t>
      </w:r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 загальної практики-сімейної медицини</w:t>
      </w: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який буде обслуговувати й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Карпилівську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амбулаторію</w:t>
      </w:r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 загальної практики-сімейної медицини</w:t>
      </w: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4.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Обарівська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амбулаторія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практики-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сімейної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>медицини</w:t>
      </w:r>
      <w:proofErr w:type="spellEnd"/>
      <w:r w:rsidRPr="00796E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потребує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поточного ремонту.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На виконання рекомендацій МОЗ України, для комфортного перебування пацієнтів, необхідно закупити кондиціонери в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>Обарівську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Городоцьку амбулаторії</w:t>
      </w:r>
      <w:r w:rsidRPr="00796E3A">
        <w:rPr>
          <w:rFonts w:ascii="Times New Roman" w:eastAsia="Calibri" w:hAnsi="Times New Roman" w:cs="Times New Roman"/>
          <w:sz w:val="28"/>
          <w:szCs w:val="28"/>
        </w:rPr>
        <w:t xml:space="preserve"> загальної практики-сімейної медицини</w:t>
      </w:r>
      <w:r w:rsidRPr="00796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(мінімум 5 шт. в кожен кабінет прийому лікаря).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Заплановано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підписання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нового пакету з НСЗУ «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психологічної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психіатричної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допомоги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населенню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первинному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рівні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».</w:t>
      </w:r>
    </w:p>
    <w:p w:rsidR="00796E3A" w:rsidRPr="00796E3A" w:rsidRDefault="00796E3A" w:rsidP="00796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Створення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спільного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підприємства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територіальних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громад </w:t>
      </w:r>
      <w:proofErr w:type="spellStart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Рівненського</w:t>
      </w:r>
      <w:proofErr w:type="spellEnd"/>
      <w:r w:rsidRPr="00796E3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району.</w:t>
      </w: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/>
        </w:rPr>
        <w:t xml:space="preserve">Директор КНП „Центр ПМСД «Медичний простір» Городоцької сільської ради  </w:t>
      </w:r>
    </w:p>
    <w:p w:rsidR="00796E3A" w:rsidRPr="00796E3A" w:rsidRDefault="00796E3A" w:rsidP="00796E3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/>
        </w:rPr>
      </w:pPr>
    </w:p>
    <w:p w:rsidR="00796E3A" w:rsidRPr="00796E3A" w:rsidRDefault="00796E3A" w:rsidP="00796E3A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/>
        </w:rPr>
      </w:pPr>
      <w:r w:rsidRPr="00796E3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/>
        </w:rPr>
        <w:t xml:space="preserve">Валентин Ханенко </w:t>
      </w:r>
    </w:p>
    <w:p w:rsidR="00796E3A" w:rsidRPr="00796E3A" w:rsidRDefault="00796E3A" w:rsidP="00796E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7371" w:rsidRDefault="00287371">
      <w:bookmarkStart w:id="0" w:name="_GoBack"/>
      <w:bookmarkEnd w:id="0"/>
    </w:p>
    <w:sectPr w:rsidR="00287371" w:rsidSect="00AB3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3A"/>
    <w:rsid w:val="001F15C3"/>
    <w:rsid w:val="00287371"/>
    <w:rsid w:val="00796E3A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5BB85-FBB7-45AA-9A1B-0DE9628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Травми та отруєння</c:v>
                </c:pt>
                <c:pt idx="2">
                  <c:v>Інфекційні захворювання</c:v>
                </c:pt>
                <c:pt idx="3">
                  <c:v>Хвороби ендокринної сиситеми</c:v>
                </c:pt>
                <c:pt idx="4">
                  <c:v>Хвороби органів травлення</c:v>
                </c:pt>
                <c:pt idx="5">
                  <c:v>Хвороби системи кровообігу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1873</c:v>
                </c:pt>
                <c:pt idx="1">
                  <c:v>295</c:v>
                </c:pt>
                <c:pt idx="2">
                  <c:v>137</c:v>
                </c:pt>
                <c:pt idx="3">
                  <c:v>122</c:v>
                </c:pt>
                <c:pt idx="4">
                  <c:v>112</c:v>
                </c:pt>
                <c:pt idx="5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8-487C-ADA1-EECF700176C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59356928832985556"/>
          <c:y val="0.21132242427351267"/>
          <c:w val="0.39435757482439077"/>
          <c:h val="0.76921512740594922"/>
        </c:manualLayout>
      </c:layout>
      <c:overlay val="0"/>
      <c:txPr>
        <a:bodyPr/>
        <a:lstStyle/>
        <a:p>
          <a:pPr>
            <a:defRPr lang="ru-RU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zero"/>
    <c:showDLblsOverMax val="0"/>
  </c:chart>
  <c:txPr>
    <a:bodyPr/>
    <a:lstStyle/>
    <a:p>
      <a:pPr>
        <a:defRPr sz="1199"/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>
                    <a:latin typeface="+mn-lt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Травми та отруєння</c:v>
                </c:pt>
                <c:pt idx="2">
                  <c:v>Інфекційні ока</c:v>
                </c:pt>
                <c:pt idx="3">
                  <c:v>Хвороби шкіри</c:v>
                </c:pt>
                <c:pt idx="4">
                  <c:v>Хвороби органів травлення</c:v>
                </c:pt>
                <c:pt idx="5">
                  <c:v>Хвороби вуха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890</c:v>
                </c:pt>
                <c:pt idx="1">
                  <c:v>110</c:v>
                </c:pt>
                <c:pt idx="2">
                  <c:v>44</c:v>
                </c:pt>
                <c:pt idx="3">
                  <c:v>43</c:v>
                </c:pt>
                <c:pt idx="4">
                  <c:v>33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14-4345-AB2C-D3ECF997AC2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57223062399630786"/>
          <c:y val="3.2283069285014385E-2"/>
          <c:w val="0.42516056964782323"/>
          <c:h val="0.94369248648135862"/>
        </c:manualLayout>
      </c:layout>
      <c:overlay val="0"/>
      <c:txPr>
        <a:bodyPr/>
        <a:lstStyle/>
        <a:p>
          <a:pPr>
            <a:defRPr lang="ru-RU" sz="120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0.30000000000000032</c:v>
                </c:pt>
                <c:pt idx="1">
                  <c:v>0.30000000000000032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06-4CF8-A6DB-61CEC19F2D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0.4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06-4CF8-A6DB-61CEC19F2D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8057472"/>
        <c:axId val="188059008"/>
      </c:barChart>
      <c:catAx>
        <c:axId val="188057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ru-RU" sz="10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8059008"/>
        <c:crosses val="autoZero"/>
        <c:auto val="1"/>
        <c:lblAlgn val="ctr"/>
        <c:lblOffset val="100"/>
        <c:noMultiLvlLbl val="0"/>
      </c:catAx>
      <c:valAx>
        <c:axId val="188059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8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805747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lang="ru-RU" sz="1200" b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1200" b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overlay val="0"/>
      <c:txPr>
        <a:bodyPr/>
        <a:lstStyle/>
        <a:p>
          <a:pPr>
            <a:defRPr lang="ru-RU" sz="12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192835065804712E-2"/>
          <c:y val="5.9486123522568532E-2"/>
          <c:w val="0.78121465733108264"/>
          <c:h val="0.6633521050768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B1-4DC4-8229-5A6A7BC379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B1-4DC4-8229-5A6A7BC379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8365440"/>
        <c:axId val="188465536"/>
      </c:barChart>
      <c:catAx>
        <c:axId val="18836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88465536"/>
        <c:crosses val="autoZero"/>
        <c:auto val="1"/>
        <c:lblAlgn val="ctr"/>
        <c:lblOffset val="100"/>
        <c:noMultiLvlLbl val="0"/>
      </c:catAx>
      <c:valAx>
        <c:axId val="188465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88365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4481788951355306E-2"/>
          <c:y val="0.8275096165665311"/>
          <c:w val="0.70871559633027981"/>
          <c:h val="0.13625397222961355"/>
        </c:manualLayout>
      </c:layout>
      <c:overlay val="0"/>
      <c:txPr>
        <a:bodyPr/>
        <a:lstStyle/>
        <a:p>
          <a:pPr>
            <a:defRPr lang="ru-RU" sz="120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51.8</c:v>
                </c:pt>
                <c:pt idx="1">
                  <c:v>48.9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9-46A8-A4FF-7F0F93A419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43.9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B9-46A8-A4FF-7F0F93A419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0569472"/>
        <c:axId val="187556608"/>
      </c:barChart>
      <c:catAx>
        <c:axId val="19056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556608"/>
        <c:crosses val="autoZero"/>
        <c:auto val="1"/>
        <c:lblAlgn val="ctr"/>
        <c:lblOffset val="100"/>
        <c:noMultiLvlLbl val="0"/>
      </c:catAx>
      <c:valAx>
        <c:axId val="18755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056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00707054475336"/>
          <c:y val="0.28295618453098781"/>
          <c:w val="0.27414195062053115"/>
          <c:h val="0.364355004610910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93901308757099E-2"/>
          <c:y val="5.3832542607212319E-2"/>
          <c:w val="0.71954088504126457"/>
          <c:h val="0.820521277382366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78.5</c:v>
                </c:pt>
                <c:pt idx="1">
                  <c:v>71.5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6F-4CF9-B354-A04011B3A3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12.2</c:v>
                </c:pt>
                <c:pt idx="1">
                  <c:v>29.2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6F-4CF9-B354-A04011B3A3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1141376"/>
        <c:axId val="191142912"/>
      </c:barChart>
      <c:catAx>
        <c:axId val="19114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91142912"/>
        <c:crosses val="autoZero"/>
        <c:auto val="1"/>
        <c:lblAlgn val="ctr"/>
        <c:lblOffset val="100"/>
        <c:noMultiLvlLbl val="0"/>
      </c:catAx>
      <c:valAx>
        <c:axId val="19114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9114137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lang="ru-RU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.76896324143560668"/>
          <c:y val="0.21071856627224941"/>
          <c:w val="0.22514869369020871"/>
          <c:h val="0.39349821936158602"/>
        </c:manualLayout>
      </c:layout>
      <c:overlay val="0"/>
      <c:txPr>
        <a:bodyPr/>
        <a:lstStyle/>
        <a:p>
          <a:pPr>
            <a:def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Консолідований бюджет</a:t>
            </a:r>
          </a:p>
        </c:rich>
      </c:tx>
      <c:layout>
        <c:manualLayout>
          <c:xMode val="edge"/>
          <c:yMode val="edge"/>
          <c:x val="0.4391556127267896"/>
          <c:y val="3.93081761006289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771490948651141"/>
          <c:y val="0.1385899558498897"/>
          <c:w val="0.35626681684500505"/>
          <c:h val="0.785527041942600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Консолідований бюджет</c:v>
                </c:pt>
              </c:strCache>
            </c:strRef>
          </c:tx>
          <c:explosion val="25"/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1885-44BE-8450-B3B595DBB14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Кошти НСЗУ </c:v>
                </c:pt>
                <c:pt idx="1">
                  <c:v>Кошти ОТГ </c:v>
                </c:pt>
                <c:pt idx="2">
                  <c:v>Зароблені кошти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76.5</c:v>
                </c:pt>
                <c:pt idx="1">
                  <c:v>21.2</c:v>
                </c:pt>
                <c:pt idx="2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85-44BE-8450-B3B595DBB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/>
          </a:pPr>
          <a:endParaRPr lang="uk-UA"/>
        </a:p>
      </c:txPr>
    </c:legend>
    <c:plotVisOnly val="1"/>
    <c:dispBlanksAs val="zero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lang="ru-RU" sz="140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Кошти ОТГ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Шпанівська</c:v>
                </c:pt>
                <c:pt idx="1">
                  <c:v>Городоцька </c:v>
                </c:pt>
                <c:pt idx="2">
                  <c:v>Корнинська</c:v>
                </c:pt>
                <c:pt idx="3">
                  <c:v>Клеванська</c:v>
                </c:pt>
                <c:pt idx="4">
                  <c:v>Білокриницька</c:v>
                </c:pt>
                <c:pt idx="5">
                  <c:v>Зорянська</c:v>
                </c:pt>
                <c:pt idx="6">
                  <c:v>Великоомелянська</c:v>
                </c:pt>
                <c:pt idx="7">
                  <c:v>Дядьковицька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</c:v>
                </c:pt>
                <c:pt idx="1">
                  <c:v>22.6</c:v>
                </c:pt>
                <c:pt idx="2">
                  <c:v>14</c:v>
                </c:pt>
                <c:pt idx="3">
                  <c:v>13.1</c:v>
                </c:pt>
                <c:pt idx="4">
                  <c:v>11.6</c:v>
                </c:pt>
                <c:pt idx="5">
                  <c:v>8.3000000000000007</c:v>
                </c:pt>
                <c:pt idx="6">
                  <c:v>2.9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6A-497B-BA76-22D04F4597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ru-RU" sz="120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4058</Words>
  <Characters>2314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2023-09-27T13:05:00Z</dcterms:created>
  <dcterms:modified xsi:type="dcterms:W3CDTF">2023-09-27T13:05:00Z</dcterms:modified>
</cp:coreProperties>
</file>