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74" w:rsidRPr="00D44174" w:rsidRDefault="00D44174" w:rsidP="00D44174">
      <w:pPr>
        <w:autoSpaceDE w:val="0"/>
        <w:autoSpaceDN w:val="0"/>
        <w:adjustRightInd w:val="0"/>
        <w:spacing w:after="0" w:line="240" w:lineRule="auto"/>
        <w:ind w:left="6663"/>
        <w:jc w:val="both"/>
        <w:rPr>
          <w:rFonts w:ascii="Times New Roman" w:eastAsia="SimSun" w:hAnsi="Times New Roman" w:cs="Times New Roman"/>
          <w:sz w:val="28"/>
          <w:szCs w:val="28"/>
          <w:lang w:eastAsia="uk-UA"/>
        </w:rPr>
      </w:pPr>
      <w:bookmarkStart w:id="0" w:name="_GoBack"/>
      <w:bookmarkEnd w:id="0"/>
      <w:r w:rsidRPr="00D44174">
        <w:rPr>
          <w:rFonts w:ascii="Times New Roman" w:eastAsia="SimSun" w:hAnsi="Times New Roman" w:cs="Times New Roman"/>
          <w:sz w:val="28"/>
          <w:szCs w:val="28"/>
          <w:lang w:eastAsia="uk-UA"/>
        </w:rPr>
        <w:t xml:space="preserve">Додаток 1 до Програми </w:t>
      </w: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b/>
          <w:bCs/>
          <w:color w:val="000000"/>
          <w:sz w:val="28"/>
          <w:szCs w:val="28"/>
          <w:lang w:eastAsia="uk-UA"/>
        </w:rPr>
      </w:pPr>
      <w:r w:rsidRPr="00D44174">
        <w:rPr>
          <w:rFonts w:ascii="Times New Roman" w:eastAsia="SimSun" w:hAnsi="Times New Roman" w:cs="Times New Roman"/>
          <w:b/>
          <w:bCs/>
          <w:color w:val="000000"/>
          <w:sz w:val="28"/>
          <w:szCs w:val="28"/>
          <w:lang w:eastAsia="uk-UA"/>
        </w:rPr>
        <w:t>Паспорт</w:t>
      </w: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b/>
          <w:bCs/>
          <w:color w:val="000000"/>
          <w:sz w:val="28"/>
          <w:szCs w:val="28"/>
          <w:lang w:eastAsia="uk-UA"/>
        </w:rPr>
      </w:pPr>
      <w:r w:rsidRPr="00D44174">
        <w:rPr>
          <w:rFonts w:ascii="Times New Roman" w:eastAsia="SimSun" w:hAnsi="Times New Roman" w:cs="Times New Roman"/>
          <w:b/>
          <w:bCs/>
          <w:color w:val="000000"/>
          <w:sz w:val="28"/>
          <w:szCs w:val="28"/>
          <w:lang w:eastAsia="uk-UA"/>
        </w:rPr>
        <w:t>Програми забезпечення житлом внутрішньо переміщених осіб у Городоцькій сільській раді на 2023-2024 роки</w:t>
      </w: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b/>
          <w:bCs/>
          <w:color w:val="000000"/>
          <w:sz w:val="28"/>
          <w:szCs w:val="28"/>
          <w:lang w:eastAsia="uk-UA"/>
        </w:rPr>
      </w:pPr>
    </w:p>
    <w:tbl>
      <w:tblPr>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2"/>
        <w:gridCol w:w="5103"/>
      </w:tblGrid>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1.</w:t>
            </w:r>
          </w:p>
        </w:tc>
        <w:tc>
          <w:tcPr>
            <w:tcW w:w="396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Ініціатор розроблення програми</w:t>
            </w:r>
          </w:p>
        </w:tc>
        <w:tc>
          <w:tcPr>
            <w:tcW w:w="5103"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Городоцька сільська рада</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2.</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Дата, номер і назва розпорядчого документа органу виконавчої влади про розроблення програми</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 xml:space="preserve">Конституція України, Житловий кодекс Української РСР, Закон України «Про місцеве самоврядування в Україні», Закон України «Про забезпечення прав і свобод внутрішньо переміщених осіб», постанова Кабінету Міністрів України від 4 жовтня 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постанова Кабінету Міністрів України </w:t>
            </w:r>
            <w:r w:rsidRPr="00D44174">
              <w:rPr>
                <w:rFonts w:ascii="Times New Roman" w:eastAsia="Times New Roman" w:hAnsi="Times New Roman" w:cs="Times New Roman"/>
                <w:sz w:val="28"/>
                <w:szCs w:val="28"/>
                <w:lang w:eastAsia="uk-UA"/>
              </w:rPr>
              <w:t xml:space="preserve">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w:t>
            </w:r>
            <w:r w:rsidRPr="00D44174">
              <w:rPr>
                <w:rFonts w:ascii="Times New Roman" w:eastAsia="SimSun" w:hAnsi="Times New Roman" w:cs="Times New Roman"/>
                <w:sz w:val="28"/>
                <w:szCs w:val="28"/>
                <w:lang w:eastAsia="uk-UA"/>
              </w:rPr>
              <w:t>постанова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постанова Кабінету Міністрів України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(із змінами), н</w:t>
            </w:r>
            <w:r w:rsidRPr="00D44174">
              <w:rPr>
                <w:rFonts w:ascii="Times New Roman" w:eastAsia="Times New Roman" w:hAnsi="Times New Roman" w:cs="Times New Roman"/>
                <w:sz w:val="28"/>
                <w:szCs w:val="28"/>
                <w:lang w:eastAsia="uk-UA"/>
              </w:rPr>
              <w:t xml:space="preserve">аказ Державного комітету України з питань житлово-комунального господарства від 14 травня 2004 року № 98, зареєстрований в Міністерстві юстиції України                    02 червня </w:t>
            </w:r>
            <w:r w:rsidRPr="00D44174">
              <w:rPr>
                <w:rFonts w:ascii="Times New Roman" w:eastAsia="Times New Roman" w:hAnsi="Times New Roman" w:cs="Times New Roman"/>
                <w:sz w:val="28"/>
                <w:szCs w:val="28"/>
                <w:lang w:eastAsia="uk-UA"/>
              </w:rPr>
              <w:lastRenderedPageBreak/>
              <w:t>2004 року за № 688/9287 «Про затвердження форм щодо житлових приміщень з фондів житла для тимчасового проживання»</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lastRenderedPageBreak/>
              <w:t>3.</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Розробник програми</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Відділ соціального захисту населення та захисту прав дітей Городоцької сільської ради</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4.</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proofErr w:type="spellStart"/>
            <w:r w:rsidRPr="00D44174">
              <w:rPr>
                <w:rFonts w:ascii="Times New Roman" w:eastAsia="SimSun" w:hAnsi="Times New Roman" w:cs="Times New Roman"/>
                <w:sz w:val="28"/>
                <w:szCs w:val="28"/>
                <w:lang w:eastAsia="uk-UA"/>
              </w:rPr>
              <w:t>Співрозробники</w:t>
            </w:r>
            <w:proofErr w:type="spellEnd"/>
            <w:r w:rsidRPr="00D44174">
              <w:rPr>
                <w:rFonts w:ascii="Times New Roman" w:eastAsia="SimSun" w:hAnsi="Times New Roman" w:cs="Times New Roman"/>
                <w:sz w:val="28"/>
                <w:szCs w:val="28"/>
                <w:lang w:eastAsia="uk-UA"/>
              </w:rPr>
              <w:t xml:space="preserve"> програми</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Відділ архітектури, земельних відносин та житлово-комунального господарства   Городоцької сільської ради</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Відділ бухгалтерського обліку, звітності та економіки Городоцької сільської ради</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5.</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Відповідальні виконавці програми</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 xml:space="preserve">Городоцька сільська рада </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Юридичний відділ</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Відділ соціального захисту населення та захисту прав дітей Городоцької сільської ради</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 xml:space="preserve">Відділ архітектури, земельних відносин та житлово-комунального господарства   Городоцької сільської ради </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Відділ бухгалтерського обліку, звітності та економіки Городоцької сільської ради</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6.</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Термін реалізації програми</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2023-2024 роки</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7.</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Загальний обсяг фінансових ресурсів, необхідних для реалізації програми, всього, тис. грн. у тому числі:</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7.1.</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державного бюджету</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7.2.</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r w:rsidRPr="00D44174">
              <w:rPr>
                <w:rFonts w:ascii="Times New Roman" w:eastAsia="SimSun" w:hAnsi="Times New Roman" w:cs="Times New Roman"/>
                <w:sz w:val="28"/>
                <w:szCs w:val="28"/>
                <w:lang w:eastAsia="uk-UA"/>
              </w:rPr>
              <w:t>обласного бюджету, в тому числі залишків субвенцій з державного бюджету, збережених станом на 01.01.2022</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b/>
                <w:bCs/>
                <w:sz w:val="28"/>
                <w:szCs w:val="28"/>
                <w:lang w:eastAsia="uk-UA"/>
              </w:rPr>
            </w:pP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7.3.</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місцевого бюджету</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 xml:space="preserve">600 000, 00 </w:t>
            </w:r>
          </w:p>
        </w:tc>
      </w:tr>
      <w:tr w:rsidR="00D44174" w:rsidRPr="00D44174" w:rsidTr="006D5F59">
        <w:tc>
          <w:tcPr>
            <w:tcW w:w="675"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7.4.</w:t>
            </w:r>
          </w:p>
        </w:tc>
        <w:tc>
          <w:tcPr>
            <w:tcW w:w="3962"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інших джерел</w:t>
            </w:r>
          </w:p>
        </w:tc>
        <w:tc>
          <w:tcPr>
            <w:tcW w:w="510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p>
        </w:tc>
      </w:tr>
    </w:tbl>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8"/>
          <w:szCs w:val="28"/>
          <w:lang w:eastAsia="uk-UA"/>
        </w:rPr>
      </w:pPr>
    </w:p>
    <w:p w:rsidR="00D44174" w:rsidRPr="00D44174" w:rsidRDefault="00D44174" w:rsidP="00D44174">
      <w:pPr>
        <w:autoSpaceDE w:val="0"/>
        <w:autoSpaceDN w:val="0"/>
        <w:adjustRightInd w:val="0"/>
        <w:spacing w:after="0" w:line="240" w:lineRule="auto"/>
        <w:ind w:left="567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567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540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540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540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6521"/>
        <w:jc w:val="both"/>
        <w:rPr>
          <w:rFonts w:ascii="Times New Roman" w:eastAsia="SimSun" w:hAnsi="Times New Roman" w:cs="Times New Roman"/>
          <w:sz w:val="28"/>
          <w:szCs w:val="28"/>
          <w:lang w:eastAsia="uk-UA"/>
        </w:rPr>
        <w:sectPr w:rsidR="00D44174" w:rsidRPr="00D44174" w:rsidSect="00973FF2">
          <w:headerReference w:type="default" r:id="rId5"/>
          <w:pgSz w:w="11906" w:h="16838"/>
          <w:pgMar w:top="1134" w:right="567" w:bottom="1134" w:left="1701" w:header="709" w:footer="709" w:gutter="0"/>
          <w:cols w:space="708"/>
          <w:titlePg/>
          <w:docGrid w:linePitch="381"/>
        </w:sectPr>
      </w:pPr>
    </w:p>
    <w:p w:rsidR="00D44174" w:rsidRPr="00D44174" w:rsidRDefault="00D44174" w:rsidP="00D44174">
      <w:pPr>
        <w:autoSpaceDE w:val="0"/>
        <w:autoSpaceDN w:val="0"/>
        <w:adjustRightInd w:val="0"/>
        <w:spacing w:after="0" w:line="240" w:lineRule="auto"/>
        <w:ind w:left="6521"/>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lastRenderedPageBreak/>
        <w:t xml:space="preserve">Додаток 4 до Програми </w:t>
      </w:r>
    </w:p>
    <w:p w:rsidR="00D44174" w:rsidRPr="00D44174" w:rsidRDefault="00D44174" w:rsidP="00D44174">
      <w:pPr>
        <w:spacing w:after="0" w:line="240" w:lineRule="auto"/>
        <w:jc w:val="center"/>
        <w:rPr>
          <w:rFonts w:ascii="Times New Roman" w:eastAsia="Times New Roman" w:hAnsi="Times New Roman" w:cs="Times New Roman"/>
          <w:b/>
          <w:bCs/>
          <w:color w:val="000000"/>
          <w:sz w:val="28"/>
          <w:szCs w:val="28"/>
          <w:lang w:eastAsia="ru-RU"/>
        </w:rPr>
      </w:pPr>
    </w:p>
    <w:p w:rsidR="00D44174" w:rsidRPr="00D44174" w:rsidRDefault="00D44174" w:rsidP="00D44174">
      <w:pPr>
        <w:spacing w:after="0" w:line="240" w:lineRule="auto"/>
        <w:jc w:val="center"/>
        <w:rPr>
          <w:rFonts w:ascii="Times New Roman" w:eastAsia="Times New Roman" w:hAnsi="Times New Roman" w:cs="Times New Roman"/>
          <w:b/>
          <w:bCs/>
          <w:sz w:val="28"/>
          <w:szCs w:val="28"/>
          <w:lang w:eastAsia="ru-RU"/>
        </w:rPr>
      </w:pPr>
      <w:r w:rsidRPr="00D44174">
        <w:rPr>
          <w:rFonts w:ascii="Times New Roman" w:eastAsia="Times New Roman" w:hAnsi="Times New Roman" w:cs="Times New Roman"/>
          <w:b/>
          <w:bCs/>
          <w:sz w:val="28"/>
          <w:szCs w:val="28"/>
          <w:lang w:eastAsia="ru-RU"/>
        </w:rPr>
        <w:t>ПОРЯДОК</w:t>
      </w: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t>використання коштів, передбачених в бюджеті Городоцької сільської територіальної громади для забезпечення житлом внутрішньо переміщених осіб у Городоцькій сільській раді на 2023-2024 роки</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1. Цей Порядок визначає механізм використання коштів, передбачених в бюджеті Городоцької сільської територіальної громади для забезпечення житлом внутрішньо переміщених осіб.</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2. Порядок використання коштів, передбачених у бюджеті Городоцької сільської територіальної громади для забезпечення житлом внутрішньо переміщених осіб розроблено відповідно до Житлового кодексу Української РСР, Законів України «Про місцеве самоврядування в Україні», «Про забезпечення прав і свобод внутрішньо переміщених осіб», постанов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від 4 жовтня 2017 року № 769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(із змінами).</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 xml:space="preserve">3. Учасниками Програми можуть бути внутрішньо переміщені особи, що перебувають на обліку громадян, що потребують житла для тимчасового проживання. </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4. Бюджетні кошти спрямовуються на закупівлю споруд спрощеного монтажу (модульних будівель, блок контейнерів, тощо) для тимчасового проживання внутрішньо переміщених осіб.</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 xml:space="preserve">5. Головним розпорядником коштів бюджету Городоцької сільської територіальної громади на виконання заходів Програми в частині закупівлі споруд спрощеного монтажу (модульних будівель, блок контейнерів, тощо)  для тимчасового проживання внутрішньо переміщених осіб є Городоцька сільська рада. </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bookmarkStart w:id="1" w:name="o11"/>
      <w:bookmarkStart w:id="2" w:name="o12"/>
      <w:bookmarkEnd w:id="1"/>
      <w:bookmarkEnd w:id="2"/>
      <w:r w:rsidRPr="00D44174">
        <w:rPr>
          <w:rFonts w:ascii="Times New Roman" w:eastAsia="Times New Roman" w:hAnsi="Times New Roman" w:cs="Times New Roman"/>
          <w:sz w:val="28"/>
          <w:szCs w:val="28"/>
          <w:lang w:eastAsia="uk-UA"/>
        </w:rPr>
        <w:t>6. Городоцька сільська рада проводить закупівлю споруд спрощеного монтажу (модульних будівель, блок контейнерів, тощо) для тимчасового проживання внутрішньо переміщених осіб у відповідності до норм чинного законодавства.</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 xml:space="preserve">7. Закуплені споруди спрощеного монтажу (модульних будівель, блок контейнерів, тощо) для тимчасового проживання внутрішньо переміщених осіб обліковуються відділом бухгалтерського обліку, звітності та економіки </w:t>
      </w:r>
      <w:r w:rsidRPr="00D44174">
        <w:rPr>
          <w:rFonts w:ascii="Times New Roman" w:eastAsia="Times New Roman" w:hAnsi="Times New Roman" w:cs="Times New Roman"/>
          <w:sz w:val="28"/>
          <w:szCs w:val="28"/>
          <w:lang w:eastAsia="uk-UA"/>
        </w:rPr>
        <w:lastRenderedPageBreak/>
        <w:t>Городоцької сільської ради з метою забезпечення тимчасовим житлом зазначеної категорії осіб.</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8. Відділ архітектури, земельних відносин та житлово-комунального господарства сільської ради згідно з чинним законодавством проводить відповідну роботу щодо виділення земельних ділянок для розміщення споруд спрощеного монтажу (модульних будівель, блок контейнерів, тощо) для тимчасового проживання внутрішньо переміщених осіб та забезпечує підведення необхідних зовнішніх інженерних мереж.</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9. Відділ соціального захисту населення та захисту прав дітей сільської ради передає у користування внутрішньо переміщеним особам споруди спрощеного монтажу (модульних будівель, блок контейнерів, тощо)  у порядку черговості та у відповідності до вимог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10. Забезпечення тимчасовим житлом внутрішньо переміщених осіб за рахунок бюджетних коштів здійснюється в межах норм, установлених законодавством.</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11. Придбання житла, реконструкція існуючих житлових будинків,                     переобладнання нежитлових будинків у житлові, закупівля споруд спрощеного монтажу (модульних будівель, блок контейнерів, тощо) для тимчасового проживання внутрішньо переміщених осіб здійснюється  на договірних засадах з дотриманням вимог Закону України «Про публічні закупівлі».</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bookmarkStart w:id="3" w:name="o22"/>
      <w:bookmarkStart w:id="4" w:name="o21"/>
      <w:bookmarkStart w:id="5" w:name="o20"/>
      <w:bookmarkStart w:id="6" w:name="o19"/>
      <w:bookmarkEnd w:id="3"/>
      <w:bookmarkEnd w:id="4"/>
      <w:bookmarkEnd w:id="5"/>
      <w:bookmarkEnd w:id="6"/>
      <w:r w:rsidRPr="00D44174">
        <w:rPr>
          <w:rFonts w:ascii="Times New Roman" w:eastAsia="Times New Roman" w:hAnsi="Times New Roman" w:cs="Times New Roman"/>
          <w:sz w:val="28"/>
          <w:szCs w:val="28"/>
          <w:lang w:eastAsia="uk-UA"/>
        </w:rPr>
        <w:t xml:space="preserve">12. Підготовка та подання звітності про використання коштів передбачених на виконання Програми, а також контроль за їх цільовим використанням здійснюються в установленому законодавством порядку. </w:t>
      </w:r>
    </w:p>
    <w:p w:rsidR="00D44174" w:rsidRPr="00D44174" w:rsidRDefault="00D44174" w:rsidP="00D44174">
      <w:pPr>
        <w:spacing w:after="0" w:line="240" w:lineRule="auto"/>
        <w:ind w:firstLine="567"/>
        <w:jc w:val="both"/>
        <w:rPr>
          <w:rFonts w:ascii="Times New Roman" w:eastAsia="Times New Roman" w:hAnsi="Times New Roman" w:cs="Times New Roman"/>
          <w:sz w:val="28"/>
          <w:szCs w:val="28"/>
          <w:lang w:eastAsia="uk-UA"/>
        </w:rPr>
      </w:pPr>
      <w:r w:rsidRPr="00D44174">
        <w:rPr>
          <w:rFonts w:ascii="Times New Roman" w:eastAsia="Times New Roman" w:hAnsi="Times New Roman" w:cs="Times New Roman"/>
          <w:sz w:val="28"/>
          <w:szCs w:val="28"/>
          <w:lang w:eastAsia="uk-UA"/>
        </w:rPr>
        <w:t>13. Відділ соціального захисту населення та захисту прав дітей Городоцької сільської ради подає Рівненській районній державній адміністрації щорічно до 01 січня інформацію про стан забезпечення тимчасовим житлом внутрішньо переміщених осіб та виконання Програми.</w:t>
      </w:r>
    </w:p>
    <w:p w:rsidR="00D44174" w:rsidRPr="00D44174" w:rsidRDefault="00D44174" w:rsidP="00D4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SimSun" w:hAnsi="Times New Roman" w:cs="Times New Roman"/>
          <w:sz w:val="28"/>
          <w:szCs w:val="28"/>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8"/>
          <w:szCs w:val="28"/>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sectPr w:rsidR="00D44174" w:rsidRPr="00D44174" w:rsidSect="007B7D3F">
          <w:headerReference w:type="default" r:id="rId6"/>
          <w:pgSz w:w="11906" w:h="16838"/>
          <w:pgMar w:top="1134" w:right="567" w:bottom="1134" w:left="1701" w:header="709" w:footer="709" w:gutter="0"/>
          <w:cols w:space="708"/>
          <w:titlePg/>
          <w:docGrid w:linePitch="381"/>
        </w:sectPr>
      </w:pPr>
    </w:p>
    <w:p w:rsidR="00D44174" w:rsidRPr="00D44174" w:rsidRDefault="00D44174" w:rsidP="00D44174">
      <w:pPr>
        <w:autoSpaceDE w:val="0"/>
        <w:autoSpaceDN w:val="0"/>
        <w:adjustRightInd w:val="0"/>
        <w:spacing w:after="0" w:line="240" w:lineRule="auto"/>
        <w:ind w:left="11482" w:firstLine="11"/>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lastRenderedPageBreak/>
        <w:t xml:space="preserve">Додаток 2 до Програми </w:t>
      </w:r>
    </w:p>
    <w:p w:rsidR="00D44174" w:rsidRPr="00D44174" w:rsidRDefault="00D44174" w:rsidP="00D44174">
      <w:pPr>
        <w:autoSpaceDE w:val="0"/>
        <w:autoSpaceDN w:val="0"/>
        <w:adjustRightInd w:val="0"/>
        <w:spacing w:after="0" w:line="240" w:lineRule="auto"/>
        <w:ind w:left="10206" w:firstLine="11"/>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b/>
          <w:bCs/>
          <w:sz w:val="26"/>
          <w:szCs w:val="26"/>
          <w:lang w:eastAsia="uk-UA"/>
        </w:rPr>
      </w:pPr>
      <w:r w:rsidRPr="00D44174">
        <w:rPr>
          <w:rFonts w:ascii="Times New Roman" w:eastAsia="SimSun" w:hAnsi="Times New Roman" w:cs="Times New Roman"/>
          <w:b/>
          <w:bCs/>
          <w:sz w:val="28"/>
          <w:szCs w:val="28"/>
          <w:lang w:eastAsia="uk-UA"/>
        </w:rPr>
        <w:t>Орієнтовний обсяг, необхідний для реалізації Програми забезпечення житлом внутрішньо переміщених осіб у Городоцькій сільській раді на 2023-2024 роки</w:t>
      </w: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firstLine="720"/>
        <w:jc w:val="right"/>
        <w:rPr>
          <w:rFonts w:ascii="Times New Roman" w:eastAsia="SimSun" w:hAnsi="Times New Roman" w:cs="Times New Roman"/>
          <w:sz w:val="26"/>
          <w:szCs w:val="26"/>
          <w:lang w:eastAsia="uk-UA"/>
        </w:rPr>
      </w:pPr>
      <w:r w:rsidRPr="00D44174">
        <w:rPr>
          <w:rFonts w:ascii="Times New Roman" w:eastAsia="SimSun" w:hAnsi="Times New Roman" w:cs="Times New Roman"/>
          <w:sz w:val="26"/>
          <w:szCs w:val="26"/>
          <w:lang w:eastAsia="uk-UA"/>
        </w:rPr>
        <w:t>тис. грн.</w:t>
      </w:r>
    </w:p>
    <w:tbl>
      <w:tblPr>
        <w:tblW w:w="15144" w:type="dxa"/>
        <w:tblInd w:w="2" w:type="dxa"/>
        <w:tblLayout w:type="fixed"/>
        <w:tblCellMar>
          <w:left w:w="10" w:type="dxa"/>
          <w:right w:w="10" w:type="dxa"/>
        </w:tblCellMar>
        <w:tblLook w:val="0000" w:firstRow="0" w:lastRow="0" w:firstColumn="0" w:lastColumn="0" w:noHBand="0" w:noVBand="0"/>
      </w:tblPr>
      <w:tblGrid>
        <w:gridCol w:w="4955"/>
        <w:gridCol w:w="1276"/>
        <w:gridCol w:w="1418"/>
        <w:gridCol w:w="1417"/>
        <w:gridCol w:w="6078"/>
      </w:tblGrid>
      <w:tr w:rsidR="00D44174" w:rsidRPr="00D44174" w:rsidTr="006D5F59">
        <w:trPr>
          <w:trHeight w:hRule="exact" w:val="511"/>
        </w:trPr>
        <w:tc>
          <w:tcPr>
            <w:tcW w:w="4955" w:type="dxa"/>
            <w:vMerge w:val="restart"/>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sz w:val="24"/>
                <w:szCs w:val="24"/>
                <w:lang w:eastAsia="uk-UA"/>
              </w:rPr>
            </w:pPr>
          </w:p>
        </w:tc>
        <w:tc>
          <w:tcPr>
            <w:tcW w:w="4111" w:type="dxa"/>
            <w:gridSpan w:val="3"/>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Виконання програми</w:t>
            </w:r>
          </w:p>
        </w:tc>
        <w:tc>
          <w:tcPr>
            <w:tcW w:w="6078" w:type="dxa"/>
            <w:tcBorders>
              <w:top w:val="single" w:sz="4" w:space="0" w:color="auto"/>
              <w:left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6"/>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Усього витрат на виконання Програми</w:t>
            </w:r>
          </w:p>
        </w:tc>
      </w:tr>
      <w:tr w:rsidR="00D44174" w:rsidRPr="00D44174" w:rsidTr="006D5F59">
        <w:trPr>
          <w:trHeight w:hRule="exact" w:val="331"/>
        </w:trPr>
        <w:tc>
          <w:tcPr>
            <w:tcW w:w="4955" w:type="dxa"/>
            <w:vMerge/>
            <w:tcBorders>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sz w:val="24"/>
                <w:szCs w:val="24"/>
                <w:lang w:eastAsia="uk-UA"/>
              </w:rPr>
            </w:pPr>
          </w:p>
        </w:tc>
        <w:tc>
          <w:tcPr>
            <w:tcW w:w="1276"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рік</w:t>
            </w:r>
          </w:p>
        </w:tc>
        <w:tc>
          <w:tcPr>
            <w:tcW w:w="1417"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2024 рік</w:t>
            </w:r>
          </w:p>
          <w:p w:rsidR="00D44174" w:rsidRPr="00D44174" w:rsidRDefault="00D44174" w:rsidP="00D44174">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p>
        </w:tc>
        <w:tc>
          <w:tcPr>
            <w:tcW w:w="6078" w:type="dxa"/>
            <w:tcBorders>
              <w:left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D44174" w:rsidRPr="00D44174" w:rsidTr="006D5F59">
        <w:trPr>
          <w:trHeight w:hRule="exact" w:val="384"/>
        </w:trPr>
        <w:tc>
          <w:tcPr>
            <w:tcW w:w="4955"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Обсяг ресурсів, всього</w:t>
            </w:r>
          </w:p>
        </w:tc>
        <w:tc>
          <w:tcPr>
            <w:tcW w:w="1276"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tcBorders>
            <w:shd w:val="clear" w:color="auto" w:fill="FFFFFF"/>
            <w:vAlign w:val="center"/>
          </w:tcPr>
          <w:p w:rsidR="00D44174" w:rsidRPr="00D44174" w:rsidRDefault="00D44174" w:rsidP="00D44174">
            <w:pPr>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tcBorders>
            <w:shd w:val="clear" w:color="auto" w:fill="FFFFFF"/>
            <w:vAlign w:val="center"/>
          </w:tcPr>
          <w:p w:rsidR="00D44174" w:rsidRPr="00D44174" w:rsidRDefault="00D44174" w:rsidP="00D44174">
            <w:pPr>
              <w:spacing w:after="0" w:line="240" w:lineRule="auto"/>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D44174" w:rsidRPr="00D44174" w:rsidTr="006D5F59">
        <w:trPr>
          <w:trHeight w:hRule="exact" w:val="331"/>
        </w:trPr>
        <w:tc>
          <w:tcPr>
            <w:tcW w:w="4955"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у тому числі:</w:t>
            </w:r>
          </w:p>
        </w:tc>
        <w:tc>
          <w:tcPr>
            <w:tcW w:w="1276"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left="18" w:firstLine="720"/>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D44174" w:rsidRPr="00D44174" w:rsidTr="006D5F59">
        <w:trPr>
          <w:trHeight w:hRule="exact" w:val="331"/>
        </w:trPr>
        <w:tc>
          <w:tcPr>
            <w:tcW w:w="4955"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державний бюджет</w:t>
            </w:r>
          </w:p>
        </w:tc>
        <w:tc>
          <w:tcPr>
            <w:tcW w:w="1276"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left="18" w:firstLine="720"/>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10"/>
              <w:jc w:val="center"/>
              <w:rPr>
                <w:rFonts w:ascii="Times New Roman" w:eastAsia="SimSun" w:hAnsi="Times New Roman" w:cs="Times New Roman"/>
                <w:sz w:val="24"/>
                <w:szCs w:val="24"/>
                <w:lang w:eastAsia="uk-UA"/>
              </w:rPr>
            </w:pPr>
          </w:p>
        </w:tc>
      </w:tr>
      <w:tr w:rsidR="00D44174" w:rsidRPr="00D44174" w:rsidTr="006D5F59">
        <w:trPr>
          <w:trHeight w:hRule="exact" w:val="1216"/>
        </w:trPr>
        <w:tc>
          <w:tcPr>
            <w:tcW w:w="4955"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обласний бюджет, в тому числі залишки субвенцій з державного бюджету, збережених станом на 01.01.2022</w:t>
            </w:r>
          </w:p>
        </w:tc>
        <w:tc>
          <w:tcPr>
            <w:tcW w:w="1276"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spacing w:after="0" w:line="240" w:lineRule="auto"/>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spacing w:after="0" w:line="240" w:lineRule="auto"/>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r w:rsidR="00D44174" w:rsidRPr="00D44174" w:rsidTr="006D5F59">
        <w:trPr>
          <w:trHeight w:hRule="exact" w:val="389"/>
        </w:trPr>
        <w:tc>
          <w:tcPr>
            <w:tcW w:w="4955"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місцевий бюджет</w:t>
            </w:r>
          </w:p>
        </w:tc>
        <w:tc>
          <w:tcPr>
            <w:tcW w:w="1276"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300</w:t>
            </w:r>
          </w:p>
        </w:tc>
        <w:tc>
          <w:tcPr>
            <w:tcW w:w="1417"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300</w:t>
            </w: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600</w:t>
            </w:r>
          </w:p>
        </w:tc>
      </w:tr>
      <w:tr w:rsidR="00D44174" w:rsidRPr="00D44174" w:rsidTr="006D5F59">
        <w:trPr>
          <w:trHeight w:hRule="exact" w:val="389"/>
        </w:trPr>
        <w:tc>
          <w:tcPr>
            <w:tcW w:w="4955"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right="130"/>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інші джерела</w:t>
            </w:r>
          </w:p>
        </w:tc>
        <w:tc>
          <w:tcPr>
            <w:tcW w:w="1276"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hanging="4"/>
              <w:jc w:val="center"/>
              <w:rPr>
                <w:rFonts w:ascii="Times New Roman" w:eastAsia="SimSun" w:hAnsi="Times New Roman" w:cs="Times New Roman"/>
                <w:sz w:val="24"/>
                <w:szCs w:val="24"/>
                <w:lang w:eastAsia="uk-UA"/>
              </w:rPr>
            </w:pPr>
          </w:p>
        </w:tc>
        <w:tc>
          <w:tcPr>
            <w:tcW w:w="1418"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c>
          <w:tcPr>
            <w:tcW w:w="1417" w:type="dxa"/>
            <w:tcBorders>
              <w:top w:val="single" w:sz="4" w:space="0" w:color="auto"/>
              <w:left w:val="single" w:sz="4" w:space="0" w:color="auto"/>
              <w:bottom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ind w:left="18"/>
              <w:jc w:val="center"/>
              <w:rPr>
                <w:rFonts w:ascii="Times New Roman" w:eastAsia="SimSun" w:hAnsi="Times New Roman" w:cs="Times New Roman"/>
                <w:sz w:val="24"/>
                <w:szCs w:val="24"/>
                <w:lang w:eastAsia="uk-UA"/>
              </w:rPr>
            </w:pPr>
          </w:p>
        </w:tc>
        <w:tc>
          <w:tcPr>
            <w:tcW w:w="6078" w:type="dxa"/>
            <w:tcBorders>
              <w:top w:val="single" w:sz="4" w:space="0" w:color="auto"/>
              <w:left w:val="single" w:sz="4" w:space="0" w:color="auto"/>
              <w:bottom w:val="single" w:sz="4" w:space="0" w:color="auto"/>
              <w:right w:val="single" w:sz="4" w:space="0" w:color="auto"/>
            </w:tcBorders>
            <w:shd w:val="clear" w:color="auto" w:fill="FFFFFF"/>
            <w:vAlign w:val="center"/>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tc>
      </w:tr>
    </w:tbl>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firstLine="567"/>
        <w:jc w:val="both"/>
        <w:rPr>
          <w:rFonts w:ascii="Times New Roman" w:eastAsia="SimSun" w:hAnsi="Times New Roman" w:cs="Times New Roman"/>
          <w:color w:val="FF0000"/>
          <w:sz w:val="24"/>
          <w:szCs w:val="24"/>
          <w:lang w:eastAsia="uk-UA"/>
        </w:rPr>
      </w:pPr>
      <w:r w:rsidRPr="00D44174">
        <w:rPr>
          <w:rFonts w:ascii="Times New Roman" w:eastAsia="SimSun" w:hAnsi="Times New Roman" w:cs="Times New Roman"/>
          <w:sz w:val="24"/>
          <w:szCs w:val="24"/>
          <w:lang w:eastAsia="uk-UA"/>
        </w:rPr>
        <w:t>Витрати, пов’язані з виконанням окремих заходів Програми, будуть фінансуватися з державного, обласного та місцевого бюджетів, з урахуванням реальних фінансових можливостей</w:t>
      </w:r>
      <w:r w:rsidRPr="00D44174">
        <w:rPr>
          <w:rFonts w:ascii="Times New Roman" w:eastAsia="SimSun" w:hAnsi="Times New Roman" w:cs="Times New Roman"/>
          <w:color w:val="FF0000"/>
          <w:sz w:val="24"/>
          <w:szCs w:val="24"/>
          <w:lang w:eastAsia="uk-UA"/>
        </w:rPr>
        <w:t>.</w:t>
      </w:r>
    </w:p>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10206" w:firstLine="11"/>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left="10206" w:firstLine="11"/>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6"/>
          <w:szCs w:val="26"/>
          <w:lang w:eastAsia="uk-UA"/>
        </w:rPr>
      </w:pPr>
    </w:p>
    <w:p w:rsidR="00D44174" w:rsidRPr="00D44174" w:rsidRDefault="00D44174" w:rsidP="00D44174">
      <w:pPr>
        <w:spacing w:after="0" w:line="240" w:lineRule="auto"/>
        <w:rPr>
          <w:rFonts w:ascii="Times New Roman" w:eastAsia="Times New Roman" w:hAnsi="Times New Roman" w:cs="Times New Roman"/>
          <w:sz w:val="28"/>
          <w:szCs w:val="28"/>
          <w:lang w:eastAsia="ru-RU"/>
        </w:rPr>
      </w:pPr>
    </w:p>
    <w:p w:rsidR="00D44174" w:rsidRPr="00D44174" w:rsidRDefault="00D44174" w:rsidP="00D44174">
      <w:pPr>
        <w:spacing w:line="240" w:lineRule="auto"/>
        <w:rPr>
          <w:rFonts w:ascii="Times New Roman" w:eastAsia="Times New Roman" w:hAnsi="Times New Roman" w:cs="Times New Roman"/>
          <w:sz w:val="24"/>
          <w:szCs w:val="24"/>
          <w:lang w:eastAsia="ru-RU"/>
        </w:rPr>
      </w:pPr>
    </w:p>
    <w:p w:rsidR="00D44174" w:rsidRPr="00D44174" w:rsidRDefault="00D44174" w:rsidP="00D44174">
      <w:pPr>
        <w:autoSpaceDE w:val="0"/>
        <w:autoSpaceDN w:val="0"/>
        <w:adjustRightInd w:val="0"/>
        <w:spacing w:after="0" w:line="240" w:lineRule="auto"/>
        <w:ind w:left="11907"/>
        <w:jc w:val="both"/>
        <w:rPr>
          <w:rFonts w:ascii="Times New Roman" w:eastAsia="SimSun" w:hAnsi="Times New Roman" w:cs="Times New Roman"/>
          <w:sz w:val="28"/>
          <w:szCs w:val="28"/>
          <w:lang w:eastAsia="uk-UA"/>
        </w:rPr>
      </w:pPr>
      <w:r w:rsidRPr="00D44174">
        <w:rPr>
          <w:rFonts w:ascii="Times New Roman" w:eastAsia="SimSun" w:hAnsi="Times New Roman" w:cs="Times New Roman"/>
          <w:sz w:val="28"/>
          <w:szCs w:val="28"/>
          <w:lang w:eastAsia="uk-UA"/>
        </w:rPr>
        <w:lastRenderedPageBreak/>
        <w:t xml:space="preserve">Додаток 3 до Програми </w:t>
      </w: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r w:rsidRPr="00D44174">
        <w:rPr>
          <w:rFonts w:ascii="Times New Roman" w:eastAsia="SimSun" w:hAnsi="Times New Roman" w:cs="Times New Roman"/>
          <w:b/>
          <w:bCs/>
          <w:sz w:val="28"/>
          <w:szCs w:val="28"/>
          <w:lang w:eastAsia="uk-UA"/>
        </w:rPr>
        <w:t xml:space="preserve">Напрями діяльності та заходи Програми забезпечення житлом внутрішньо переміщених осіб </w:t>
      </w:r>
    </w:p>
    <w:p w:rsidR="00D44174" w:rsidRPr="00D44174" w:rsidRDefault="00D44174" w:rsidP="00D44174">
      <w:pPr>
        <w:autoSpaceDE w:val="0"/>
        <w:autoSpaceDN w:val="0"/>
        <w:adjustRightInd w:val="0"/>
        <w:spacing w:after="0" w:line="240" w:lineRule="auto"/>
        <w:ind w:firstLine="720"/>
        <w:jc w:val="center"/>
        <w:rPr>
          <w:rFonts w:ascii="Times New Roman" w:eastAsia="SimSun" w:hAnsi="Times New Roman" w:cs="Times New Roman"/>
          <w:b/>
          <w:bCs/>
          <w:sz w:val="28"/>
          <w:szCs w:val="28"/>
          <w:lang w:eastAsia="uk-UA"/>
        </w:rPr>
      </w:pPr>
      <w:r w:rsidRPr="00D44174">
        <w:rPr>
          <w:rFonts w:ascii="Times New Roman" w:eastAsia="SimSun" w:hAnsi="Times New Roman" w:cs="Times New Roman"/>
          <w:b/>
          <w:bCs/>
          <w:sz w:val="28"/>
          <w:szCs w:val="28"/>
          <w:lang w:eastAsia="uk-UA"/>
        </w:rPr>
        <w:t>у Городоцькій сільський раді на 2023-2024 роки</w:t>
      </w:r>
    </w:p>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0"/>
          <w:szCs w:val="20"/>
          <w:lang w:eastAsia="uk-UA"/>
        </w:rPr>
      </w:pPr>
    </w:p>
    <w:tbl>
      <w:tblPr>
        <w:tblW w:w="1530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
        <w:gridCol w:w="2497"/>
        <w:gridCol w:w="2921"/>
        <w:gridCol w:w="1412"/>
        <w:gridCol w:w="2143"/>
        <w:gridCol w:w="1616"/>
        <w:gridCol w:w="1840"/>
        <w:gridCol w:w="2367"/>
      </w:tblGrid>
      <w:tr w:rsidR="00D44174" w:rsidRPr="00D44174" w:rsidTr="006D5F59">
        <w:trPr>
          <w:trHeight w:val="1732"/>
        </w:trPr>
        <w:tc>
          <w:tcPr>
            <w:tcW w:w="506"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з\п</w:t>
            </w:r>
          </w:p>
        </w:tc>
        <w:tc>
          <w:tcPr>
            <w:tcW w:w="2497"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Назва напряму діяльності (пріоритетні завдання)</w:t>
            </w:r>
          </w:p>
        </w:tc>
        <w:tc>
          <w:tcPr>
            <w:tcW w:w="2921"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Перелік заходів програми</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Строк виконання заходу</w:t>
            </w:r>
          </w:p>
        </w:tc>
        <w:tc>
          <w:tcPr>
            <w:tcW w:w="2143"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Виконавці</w:t>
            </w:r>
          </w:p>
        </w:tc>
        <w:tc>
          <w:tcPr>
            <w:tcW w:w="1616"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Джерела фінансування</w:t>
            </w:r>
          </w:p>
        </w:tc>
        <w:tc>
          <w:tcPr>
            <w:tcW w:w="1840"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Орієнтовні обсяги фінансування (вартість), тис. грн, у тому числі по роках:</w:t>
            </w:r>
          </w:p>
        </w:tc>
        <w:tc>
          <w:tcPr>
            <w:tcW w:w="2367"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Очікуваний результат</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1.</w:t>
            </w: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Створення умов і можливостей для забезпечення житлом внутрішньо переміщених осіб</w:t>
            </w:r>
          </w:p>
        </w:tc>
        <w:tc>
          <w:tcPr>
            <w:tcW w:w="2921" w:type="dxa"/>
          </w:tcPr>
          <w:p w:rsidR="00D44174" w:rsidRPr="00D44174" w:rsidRDefault="00D44174" w:rsidP="00D44174">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1.1. 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2023 - 2024 роки</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соціального захисту населення та захисту прав дітей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p w:rsidR="00D44174" w:rsidRPr="00D44174" w:rsidRDefault="00D44174" w:rsidP="00D44174">
            <w:pPr>
              <w:spacing w:line="240" w:lineRule="auto"/>
              <w:rPr>
                <w:rFonts w:ascii="Times New Roman" w:eastAsia="SimSun" w:hAnsi="Times New Roman" w:cs="Times New Roman"/>
                <w:sz w:val="24"/>
                <w:szCs w:val="24"/>
                <w:lang w:eastAsia="uk-UA"/>
              </w:rPr>
            </w:pPr>
          </w:p>
          <w:p w:rsidR="00D44174" w:rsidRPr="00D44174" w:rsidRDefault="00D44174" w:rsidP="00D44174">
            <w:pPr>
              <w:spacing w:line="240" w:lineRule="auto"/>
              <w:rPr>
                <w:rFonts w:ascii="Times New Roman" w:eastAsia="SimSun" w:hAnsi="Times New Roman" w:cs="Times New Roman"/>
                <w:sz w:val="24"/>
                <w:szCs w:val="24"/>
                <w:lang w:eastAsia="uk-UA"/>
              </w:rPr>
            </w:pPr>
          </w:p>
          <w:p w:rsidR="00D44174" w:rsidRPr="00D44174" w:rsidRDefault="00D44174" w:rsidP="00D44174">
            <w:pPr>
              <w:spacing w:line="240" w:lineRule="auto"/>
              <w:jc w:val="center"/>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Актуалізовано облік за місцем тимчасового проживання </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1.2. Проведення на території громади інвентаризації будівель та споруд, що потребують реконструкції або є недобудованими і після проведення відповідних робіт можуть бути використані для створення фонду тимчасового житла для </w:t>
            </w:r>
            <w:r w:rsidRPr="00D44174">
              <w:rPr>
                <w:rFonts w:ascii="Times New Roman" w:eastAsia="SimSun" w:hAnsi="Times New Roman" w:cs="Times New Roman"/>
                <w:sz w:val="24"/>
                <w:szCs w:val="24"/>
                <w:lang w:eastAsia="uk-UA"/>
              </w:rPr>
              <w:lastRenderedPageBreak/>
              <w:t>поселення внутрішньо переміщених осіб</w:t>
            </w:r>
          </w:p>
          <w:p w:rsidR="00D44174" w:rsidRPr="00D44174" w:rsidRDefault="00D44174" w:rsidP="00D44174">
            <w:p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До 01 квітня</w:t>
            </w: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року</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Сформовано перелік будівель та споруд, що потребують реконструкції та/або є недобудовами для подальшого використання у фонді тимчасового житла для внутрішньо переміщених осіб</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numPr>
                <w:ilvl w:val="1"/>
                <w:numId w:val="1"/>
              </w:num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До 01 квітня</w:t>
            </w:r>
          </w:p>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року</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Сформовано перелік вільних житлових приміщень для подальшого забезпечення внутрішньо переміщених осіб</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numPr>
                <w:ilvl w:val="1"/>
                <w:numId w:val="1"/>
              </w:num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Організація відведення земельних ділянок для розміщення тимчасових споруд для життєзабезпечення (тимчасового проживання та обслуговування) внутрішньо переміщених осіб з підведенням інженерних мереж, необхідних для функціонування  таких споруд </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До 01 квітня 2023 року</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архітектури, земельних відносин та житлово-комунального господарства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Сформовані земельні ділянки для розміщення тимчасових споруд, їх комплексів, призначених для життєзабезпечення (тимчасового проживання та обслуговування) внутрішньо переміщених осіб з підведеними інженерними мережами</w:t>
            </w:r>
            <w:r w:rsidRPr="00D44174">
              <w:rPr>
                <w:rFonts w:ascii="Times New Roman" w:eastAsia="SimSun" w:hAnsi="Times New Roman" w:cs="Times New Roman"/>
                <w:color w:val="000000"/>
                <w:sz w:val="24"/>
                <w:szCs w:val="24"/>
                <w:shd w:val="clear" w:color="auto" w:fill="FFFFFF"/>
                <w:lang w:eastAsia="uk-UA"/>
              </w:rPr>
              <w:t> </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numPr>
                <w:ilvl w:val="1"/>
                <w:numId w:val="1"/>
              </w:num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Придбання модульних та  </w:t>
            </w:r>
            <w:r w:rsidRPr="00D44174">
              <w:rPr>
                <w:rFonts w:ascii="Times New Roman" w:eastAsia="SimSun" w:hAnsi="Times New Roman" w:cs="Times New Roman"/>
                <w:sz w:val="24"/>
                <w:szCs w:val="24"/>
                <w:lang w:eastAsia="uk-UA"/>
              </w:rPr>
              <w:lastRenderedPageBreak/>
              <w:t xml:space="preserve">переносних споруд (швидко демонтовані  споруди з полегшених конструкцій (мобільна (інвентарна), збірно-розбірна, контейнерного або комбінованого типу тощо) для надання підтримки внутрішньо переміщеним та/або евакуйованим особам у зв’язку з введенням воєнного стану із подальшою їх передачею громаді </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2023 - 2024 роки</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Городоцька сільська рада </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Обласний бюджет</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Місцевий бюджет</w:t>
            </w: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2023р-300тис.</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2024р-300тис.</w:t>
            </w: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Створення фонду житла призначеного </w:t>
            </w:r>
            <w:r w:rsidRPr="00D44174">
              <w:rPr>
                <w:rFonts w:ascii="Times New Roman" w:eastAsia="SimSun" w:hAnsi="Times New Roman" w:cs="Times New Roman"/>
                <w:sz w:val="24"/>
                <w:szCs w:val="24"/>
                <w:lang w:eastAsia="uk-UA"/>
              </w:rPr>
              <w:lastRenderedPageBreak/>
              <w:t>для тимчасового проживання внутрішньо переміщених осіб</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numPr>
                <w:ilvl w:val="1"/>
                <w:numId w:val="1"/>
              </w:numPr>
              <w:autoSpaceDE w:val="0"/>
              <w:autoSpaceDN w:val="0"/>
              <w:adjustRightInd w:val="0"/>
              <w:spacing w:after="0" w:line="240" w:lineRule="auto"/>
              <w:ind w:firstLine="283"/>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Створення належних умов для надання безоплатної правової допомоги внутрішньо переміщеним особам в процесі укладання договорів </w:t>
            </w:r>
            <w:r w:rsidRPr="00D44174">
              <w:rPr>
                <w:rFonts w:ascii="Times New Roman" w:eastAsia="SimSun" w:hAnsi="Times New Roman" w:cs="Times New Roman"/>
                <w:sz w:val="24"/>
                <w:szCs w:val="24"/>
                <w:shd w:val="clear" w:color="auto" w:fill="FFFFFF"/>
                <w:lang w:eastAsia="uk-UA"/>
              </w:rPr>
              <w:t xml:space="preserve">найму житлового </w:t>
            </w:r>
            <w:r w:rsidRPr="00D44174">
              <w:rPr>
                <w:rFonts w:ascii="Times New Roman" w:eastAsia="SimSun" w:hAnsi="Times New Roman" w:cs="Times New Roman"/>
                <w:sz w:val="24"/>
                <w:szCs w:val="24"/>
                <w:shd w:val="clear" w:color="auto" w:fill="FFFFFF"/>
                <w:lang w:eastAsia="uk-UA"/>
              </w:rPr>
              <w:lastRenderedPageBreak/>
              <w:t>приміщення з фонду житла для тимчасового проживання</w:t>
            </w: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lastRenderedPageBreak/>
              <w:t>2023 - 2024 роки</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Юридичний відділ  сільської ради</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соціального захисту населення та захисту прав дітей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Відповідно до потреб заявників – внутрішньо переміщених осіб, проведені консультації центрами правової допомоги на безоплатній основі</w:t>
            </w: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numPr>
                <w:ilvl w:val="1"/>
                <w:numId w:val="1"/>
              </w:numPr>
              <w:spacing w:after="0" w:line="240" w:lineRule="auto"/>
              <w:ind w:left="-78" w:right="-57"/>
              <w:jc w:val="both"/>
              <w:rPr>
                <w:rFonts w:ascii="Times New Roman" w:eastAsia="SimSun" w:hAnsi="Times New Roman" w:cs="Times New Roman"/>
                <w:sz w:val="24"/>
                <w:szCs w:val="24"/>
                <w:lang w:eastAsia="uk-UA"/>
              </w:rPr>
            </w:pPr>
            <w:r w:rsidRPr="00D44174">
              <w:rPr>
                <w:rFonts w:ascii="Times New Roman" w:eastAsia="SimSun" w:hAnsi="Times New Roman" w:cs="Times New Roman"/>
                <w:color w:val="000000"/>
                <w:sz w:val="24"/>
                <w:szCs w:val="24"/>
                <w:lang w:eastAsia="uk-UA"/>
              </w:rPr>
              <w:t xml:space="preserve">     1.7. 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 </w:t>
            </w:r>
          </w:p>
        </w:tc>
        <w:tc>
          <w:tcPr>
            <w:tcW w:w="1412" w:type="dxa"/>
          </w:tcPr>
          <w:p w:rsidR="00D44174" w:rsidRPr="00D44174" w:rsidRDefault="00D44174" w:rsidP="00D44174">
            <w:pPr>
              <w:spacing w:after="0" w:line="240" w:lineRule="auto"/>
              <w:ind w:left="-108" w:right="-108"/>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2023 - 2024 роки</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Відділ архітектури, земельних відносин та житлово-комунального господарства сільської ради </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Юридичний відділ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r>
      <w:tr w:rsidR="00D44174" w:rsidRPr="00D44174" w:rsidTr="006D5F59">
        <w:tc>
          <w:tcPr>
            <w:tcW w:w="50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w:t>
            </w:r>
          </w:p>
        </w:tc>
        <w:tc>
          <w:tcPr>
            <w:tcW w:w="249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 xml:space="preserve">Виплата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w:t>
            </w:r>
            <w:r w:rsidRPr="00D44174">
              <w:rPr>
                <w:rFonts w:ascii="Times New Roman" w:eastAsia="SimSun" w:hAnsi="Times New Roman" w:cs="Times New Roman"/>
                <w:sz w:val="24"/>
                <w:szCs w:val="24"/>
                <w:lang w:eastAsia="uk-UA"/>
              </w:rPr>
              <w:lastRenderedPageBreak/>
              <w:t xml:space="preserve">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Луганських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 наслідок війни ІІІ групи відповідно до пунктів 11-14 частини другої статті 7 або учасниками бойових дій відповідно до пунктів 19-20 частини першої статті 6 Закону України «Про </w:t>
            </w:r>
            <w:r w:rsidRPr="00D44174">
              <w:rPr>
                <w:rFonts w:ascii="Times New Roman" w:eastAsia="SimSun" w:hAnsi="Times New Roman" w:cs="Times New Roman"/>
                <w:sz w:val="24"/>
                <w:szCs w:val="24"/>
                <w:lang w:eastAsia="uk-UA"/>
              </w:rPr>
              <w:lastRenderedPageBreak/>
              <w:t>статус ветеранів війни, гарантії їх соціального захисту», та які потребують поліпшення житлових умов</w:t>
            </w:r>
          </w:p>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2921"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c>
          <w:tcPr>
            <w:tcW w:w="1412" w:type="dxa"/>
          </w:tcPr>
          <w:p w:rsidR="00D44174" w:rsidRPr="00D44174" w:rsidRDefault="00D44174" w:rsidP="00D44174">
            <w:pPr>
              <w:autoSpaceDE w:val="0"/>
              <w:autoSpaceDN w:val="0"/>
              <w:adjustRightInd w:val="0"/>
              <w:spacing w:after="0" w:line="240" w:lineRule="auto"/>
              <w:jc w:val="center"/>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2023 - 2024 роки</w:t>
            </w:r>
          </w:p>
        </w:tc>
        <w:tc>
          <w:tcPr>
            <w:tcW w:w="2143"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Відділ соціального захисту населення та захисту прав дітей сільської ради</w:t>
            </w:r>
          </w:p>
        </w:tc>
        <w:tc>
          <w:tcPr>
            <w:tcW w:w="1616"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Державний бюджет</w:t>
            </w:r>
          </w:p>
        </w:tc>
        <w:tc>
          <w:tcPr>
            <w:tcW w:w="1840"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r w:rsidRPr="00D44174">
              <w:rPr>
                <w:rFonts w:ascii="Times New Roman" w:eastAsia="SimSun" w:hAnsi="Times New Roman" w:cs="Times New Roman"/>
                <w:sz w:val="24"/>
                <w:szCs w:val="24"/>
                <w:lang w:eastAsia="uk-UA"/>
              </w:rPr>
              <w:t>Відповідно до постанови Кабінету Міністрів України            від 18 квітня 2018 року № 280 (зі змінами)</w:t>
            </w:r>
          </w:p>
        </w:tc>
        <w:tc>
          <w:tcPr>
            <w:tcW w:w="2367" w:type="dxa"/>
          </w:tcPr>
          <w:p w:rsidR="00D44174" w:rsidRPr="00D44174" w:rsidRDefault="00D44174" w:rsidP="00D44174">
            <w:pPr>
              <w:autoSpaceDE w:val="0"/>
              <w:autoSpaceDN w:val="0"/>
              <w:adjustRightInd w:val="0"/>
              <w:spacing w:after="0" w:line="240" w:lineRule="auto"/>
              <w:jc w:val="both"/>
              <w:rPr>
                <w:rFonts w:ascii="Times New Roman" w:eastAsia="SimSun" w:hAnsi="Times New Roman" w:cs="Times New Roman"/>
                <w:sz w:val="24"/>
                <w:szCs w:val="24"/>
                <w:lang w:eastAsia="uk-UA"/>
              </w:rPr>
            </w:pPr>
          </w:p>
        </w:tc>
      </w:tr>
    </w:tbl>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D44174" w:rsidRPr="00D44174" w:rsidRDefault="00D44174" w:rsidP="00D44174">
      <w:pPr>
        <w:autoSpaceDE w:val="0"/>
        <w:autoSpaceDN w:val="0"/>
        <w:adjustRightInd w:val="0"/>
        <w:spacing w:after="0" w:line="240" w:lineRule="auto"/>
        <w:ind w:firstLine="720"/>
        <w:jc w:val="both"/>
        <w:rPr>
          <w:rFonts w:ascii="Times New Roman" w:eastAsia="SimSun" w:hAnsi="Times New Roman" w:cs="Times New Roman"/>
          <w:sz w:val="26"/>
          <w:szCs w:val="26"/>
          <w:lang w:eastAsia="uk-UA"/>
        </w:rPr>
      </w:pPr>
    </w:p>
    <w:p w:rsidR="00D44174" w:rsidRPr="00D44174" w:rsidRDefault="00D44174" w:rsidP="00D44174">
      <w:pPr>
        <w:spacing w:line="240" w:lineRule="auto"/>
        <w:rPr>
          <w:rFonts w:ascii="Calibri" w:eastAsia="Times New Roman" w:hAnsi="Calibri" w:cs="Times New Roman"/>
          <w:lang w:eastAsia="uk-UA"/>
        </w:rPr>
      </w:pPr>
    </w:p>
    <w:p w:rsidR="00D44174" w:rsidRPr="00D44174" w:rsidRDefault="00D44174" w:rsidP="00D44174">
      <w:pPr>
        <w:spacing w:line="240" w:lineRule="auto"/>
        <w:rPr>
          <w:rFonts w:ascii="Calibri" w:eastAsia="Times New Roman" w:hAnsi="Calibri" w:cs="Times New Roman"/>
          <w:lang w:eastAsia="uk-UA"/>
        </w:rPr>
      </w:pPr>
    </w:p>
    <w:p w:rsidR="00287371" w:rsidRDefault="00287371"/>
    <w:sectPr w:rsidR="00287371" w:rsidSect="00EE53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36174"/>
      <w:docPartObj>
        <w:docPartGallery w:val="Page Numbers (Top of Page)"/>
        <w:docPartUnique/>
      </w:docPartObj>
    </w:sdtPr>
    <w:sdtEndPr>
      <w:rPr>
        <w:rFonts w:ascii="Times New Roman" w:hAnsi="Times New Roman" w:cs="Times New Roman"/>
        <w:noProof/>
        <w:sz w:val="24"/>
        <w:szCs w:val="24"/>
      </w:rPr>
    </w:sdtEndPr>
    <w:sdtContent>
      <w:p w:rsidR="007B7D3F" w:rsidRPr="007B7D3F" w:rsidRDefault="000963C0">
        <w:pPr>
          <w:pStyle w:val="1"/>
          <w:jc w:val="center"/>
          <w:rPr>
            <w:rFonts w:ascii="Times New Roman" w:hAnsi="Times New Roman" w:cs="Times New Roman"/>
            <w:sz w:val="24"/>
            <w:szCs w:val="24"/>
          </w:rPr>
        </w:pPr>
        <w:r w:rsidRPr="007B7D3F">
          <w:rPr>
            <w:rFonts w:ascii="Times New Roman" w:hAnsi="Times New Roman" w:cs="Times New Roman"/>
            <w:sz w:val="24"/>
            <w:szCs w:val="24"/>
          </w:rPr>
          <w:fldChar w:fldCharType="begin"/>
        </w:r>
        <w:r w:rsidRPr="007B7D3F">
          <w:rPr>
            <w:rFonts w:ascii="Times New Roman" w:hAnsi="Times New Roman" w:cs="Times New Roman"/>
            <w:sz w:val="24"/>
            <w:szCs w:val="24"/>
          </w:rPr>
          <w:instrText xml:space="preserve"> PAGE   \* MERGEFORMAT </w:instrText>
        </w:r>
        <w:r w:rsidRPr="007B7D3F">
          <w:rPr>
            <w:rFonts w:ascii="Times New Roman" w:hAnsi="Times New Roman" w:cs="Times New Roman"/>
            <w:sz w:val="24"/>
            <w:szCs w:val="24"/>
          </w:rPr>
          <w:fldChar w:fldCharType="separate"/>
        </w:r>
        <w:r>
          <w:rPr>
            <w:rFonts w:ascii="Times New Roman" w:hAnsi="Times New Roman" w:cs="Times New Roman"/>
            <w:noProof/>
            <w:sz w:val="24"/>
            <w:szCs w:val="24"/>
          </w:rPr>
          <w:t>2</w:t>
        </w:r>
        <w:r w:rsidRPr="007B7D3F">
          <w:rPr>
            <w:rFonts w:ascii="Times New Roman" w:hAnsi="Times New Roman" w:cs="Times New Roman"/>
            <w:noProof/>
            <w:sz w:val="24"/>
            <w:szCs w:val="24"/>
          </w:rPr>
          <w:fldChar w:fldCharType="end"/>
        </w:r>
      </w:p>
    </w:sdtContent>
  </w:sdt>
  <w:p w:rsidR="007B7D3F" w:rsidRDefault="000963C0">
    <w:pPr>
      <w:pStyle w:val="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8001411"/>
      <w:docPartObj>
        <w:docPartGallery w:val="Page Numbers (Top of Page)"/>
        <w:docPartUnique/>
      </w:docPartObj>
    </w:sdtPr>
    <w:sdtEndPr>
      <w:rPr>
        <w:noProof/>
      </w:rPr>
    </w:sdtEndPr>
    <w:sdtContent>
      <w:p w:rsidR="007B7D3F" w:rsidRPr="007B7D3F" w:rsidRDefault="000963C0">
        <w:pPr>
          <w:pStyle w:val="1"/>
          <w:jc w:val="center"/>
          <w:rPr>
            <w:rFonts w:ascii="Times New Roman" w:hAnsi="Times New Roman" w:cs="Times New Roman"/>
            <w:sz w:val="24"/>
            <w:szCs w:val="24"/>
          </w:rPr>
        </w:pPr>
        <w:r w:rsidRPr="007B7D3F">
          <w:rPr>
            <w:rFonts w:ascii="Times New Roman" w:hAnsi="Times New Roman" w:cs="Times New Roman"/>
            <w:sz w:val="24"/>
            <w:szCs w:val="24"/>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6608F"/>
    <w:multiLevelType w:val="multilevel"/>
    <w:tmpl w:val="F6BC41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4"/>
    <w:rsid w:val="000963C0"/>
    <w:rsid w:val="001F15C3"/>
    <w:rsid w:val="00287371"/>
    <w:rsid w:val="00984E23"/>
    <w:rsid w:val="00AB348D"/>
    <w:rsid w:val="00D44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1619-9347-4319-B937-28BE2420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D44174"/>
    <w:pPr>
      <w:tabs>
        <w:tab w:val="center" w:pos="4819"/>
        <w:tab w:val="right" w:pos="9639"/>
      </w:tabs>
      <w:spacing w:after="0" w:line="240" w:lineRule="auto"/>
    </w:pPr>
    <w:rPr>
      <w:rFonts w:eastAsia="Calibri"/>
    </w:rPr>
  </w:style>
  <w:style w:type="character" w:customStyle="1" w:styleId="a4">
    <w:name w:val="Верхний колонтитул Знак"/>
    <w:basedOn w:val="a0"/>
    <w:link w:val="1"/>
    <w:uiPriority w:val="99"/>
    <w:rsid w:val="00D44174"/>
    <w:rPr>
      <w:rFonts w:eastAsia="Calibri"/>
      <w:lang w:eastAsia="en-US"/>
    </w:rPr>
  </w:style>
  <w:style w:type="table" w:styleId="a5">
    <w:name w:val="Table Grid"/>
    <w:basedOn w:val="a1"/>
    <w:uiPriority w:val="99"/>
    <w:rsid w:val="00D44174"/>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header"/>
    <w:basedOn w:val="a"/>
    <w:link w:val="10"/>
    <w:uiPriority w:val="99"/>
    <w:semiHidden/>
    <w:unhideWhenUsed/>
    <w:rsid w:val="00D44174"/>
    <w:pPr>
      <w:tabs>
        <w:tab w:val="center" w:pos="4819"/>
        <w:tab w:val="right" w:pos="9639"/>
      </w:tabs>
      <w:spacing w:after="0" w:line="240" w:lineRule="auto"/>
    </w:pPr>
  </w:style>
  <w:style w:type="character" w:customStyle="1" w:styleId="10">
    <w:name w:val="Верхний колонтитул Знак1"/>
    <w:basedOn w:val="a0"/>
    <w:link w:val="a3"/>
    <w:uiPriority w:val="99"/>
    <w:semiHidden/>
    <w:rsid w:val="00D4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8105</Words>
  <Characters>4621</Characters>
  <Application>Microsoft Office Word</Application>
  <DocSecurity>0</DocSecurity>
  <Lines>38</Lines>
  <Paragraphs>25</Paragraphs>
  <ScaleCrop>false</ScaleCrop>
  <Company>SPecialiST RePack</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2023-04-06T07:37:00Z</dcterms:created>
  <dcterms:modified xsi:type="dcterms:W3CDTF">2023-04-06T07:39:00Z</dcterms:modified>
</cp:coreProperties>
</file>