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23" w:rsidRDefault="004B1FBA" w:rsidP="00071B23">
      <w:pPr>
        <w:tabs>
          <w:tab w:val="left" w:pos="681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</w:t>
      </w:r>
    </w:p>
    <w:p w:rsidR="004B1FBA" w:rsidRPr="004B1FBA" w:rsidRDefault="004B1FBA" w:rsidP="00071B23">
      <w:pPr>
        <w:tabs>
          <w:tab w:val="left" w:pos="681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виконавчого комітету </w:t>
      </w: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Городоцької сільської ради </w:t>
      </w:r>
    </w:p>
    <w:p w:rsidR="004B1FBA" w:rsidRPr="004B1FBA" w:rsidRDefault="00F82B13" w:rsidP="00071B23">
      <w:pPr>
        <w:tabs>
          <w:tab w:val="left" w:pos="681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29.11.</w:t>
      </w:r>
      <w:r w:rsidR="004B1FBA" w:rsidRPr="004B1FBA">
        <w:rPr>
          <w:rFonts w:ascii="Times New Roman" w:eastAsia="Calibri" w:hAnsi="Times New Roman" w:cs="Times New Roman"/>
          <w:sz w:val="28"/>
          <w:szCs w:val="28"/>
        </w:rPr>
        <w:t xml:space="preserve">2022 року № </w:t>
      </w:r>
      <w:r>
        <w:rPr>
          <w:rFonts w:ascii="Times New Roman" w:eastAsia="Calibri" w:hAnsi="Times New Roman" w:cs="Times New Roman"/>
          <w:sz w:val="28"/>
          <w:szCs w:val="28"/>
        </w:rPr>
        <w:t>213</w:t>
      </w:r>
      <w:bookmarkStart w:id="0" w:name="_GoBack"/>
      <w:bookmarkEnd w:id="0"/>
    </w:p>
    <w:p w:rsidR="004B1FBA" w:rsidRPr="004B1FBA" w:rsidRDefault="004B1FBA" w:rsidP="00071B23">
      <w:pPr>
        <w:tabs>
          <w:tab w:val="left" w:pos="681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FBA" w:rsidRPr="00AF7DEE" w:rsidRDefault="004B1FBA" w:rsidP="00071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DEE">
        <w:rPr>
          <w:rFonts w:ascii="Times New Roman" w:hAnsi="Times New Roman" w:cs="Times New Roman"/>
          <w:b/>
          <w:sz w:val="28"/>
          <w:szCs w:val="28"/>
        </w:rPr>
        <w:t>Про виконання делегованих повноважень</w:t>
      </w:r>
      <w:r w:rsidR="00217F8A" w:rsidRPr="00AF7D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DEE">
        <w:rPr>
          <w:rFonts w:ascii="Times New Roman" w:hAnsi="Times New Roman" w:cs="Times New Roman"/>
          <w:b/>
          <w:sz w:val="28"/>
          <w:szCs w:val="28"/>
        </w:rPr>
        <w:t>органів виконавчої влади у сфері медицини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На території сільської ради надають медичну допомогу 3 лікарські амбулаторії в селах Городок, Обарів, Карпилівка та 5 ФАПів в селах Метків, Ставки, Бронники, Б</w:t>
      </w:r>
      <w:r w:rsidR="00582DC3">
        <w:rPr>
          <w:rFonts w:ascii="Times New Roman" w:eastAsia="Calibri" w:hAnsi="Times New Roman" w:cs="Times New Roman"/>
          <w:sz w:val="28"/>
          <w:szCs w:val="28"/>
        </w:rPr>
        <w:t xml:space="preserve">ілівські </w:t>
      </w:r>
      <w:r w:rsidRPr="004B1FBA">
        <w:rPr>
          <w:rFonts w:ascii="Times New Roman" w:eastAsia="Calibri" w:hAnsi="Times New Roman" w:cs="Times New Roman"/>
          <w:sz w:val="28"/>
          <w:szCs w:val="28"/>
        </w:rPr>
        <w:t>Хутори, Рогачів. Працює 6 лікарів на 5,5 ставки (з них</w:t>
      </w:r>
      <w:r w:rsidR="00582DC3">
        <w:rPr>
          <w:rFonts w:ascii="Times New Roman" w:eastAsia="Calibri" w:hAnsi="Times New Roman" w:cs="Times New Roman"/>
          <w:sz w:val="28"/>
          <w:szCs w:val="28"/>
        </w:rPr>
        <w:t>,</w:t>
      </w: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 1 мобілізований в ЗСУ) та </w:t>
      </w: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4B1F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медичних сестер (з них</w:t>
      </w:r>
      <w:r w:rsidR="00582DC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також 1 перебуває в лавах ЗСУ) та 8 осіб допоміжного персоналу. </w:t>
      </w: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Станом на сьогодні повністю відповідає вимогам по будівлі лише Карпилівська амбулаторія ЗПСМ. У цьому році планувалися ремонти частини приміщень Городоцької, Обарівської амбулаторій та приміщення під Центр ПМСД в Обарівській амбулаторії. Проте через воєнні дії та відповідні нормативні акти Кабінету Міністрів ми таке зробити не можемо. Однак за кошти підприємства на даний момент проводиться ремонт вбиралень у Обарівській амбулаторії (з них одна була нефункціонуюча і буде адаптована для людей з інвалідністю). 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З 3-х лікарських амбулаторій лише одна забезпечена санітарним транспортом. Медичним інвентарем та обладнанням амбулаторії та ФАПи забезпечені згідно табеля оснащень</w:t>
      </w: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. На відміну від більшості центрів ПМСД області в нашому кожна амбулаторія має, як мінімум 1 кисневий концентратор, який при потребі надається населенню (при дихальній недостатності внаслідок перенесеного covid-19 або при хронічних обструктивних захворювання легень). Холодильне обладнання все нове та ним забезпечений кожен заклад підприємства. КНП «Центр ПМСД «Медичний простір» має підписаний договір з НСЗУ по 3 пакетам («Первинна медична допомога», «Вакцинація від </w:t>
      </w:r>
      <w:r w:rsidR="00582DC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B1FBA">
        <w:rPr>
          <w:rFonts w:ascii="Times New Roman" w:eastAsia="Calibri" w:hAnsi="Times New Roman" w:cs="Times New Roman"/>
          <w:sz w:val="28"/>
          <w:szCs w:val="28"/>
        </w:rPr>
        <w:t>ovid-19», «Лікування та супровід хворих на туберкульоз на амбулаторному етапі»).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Протягом 9 місяців 2022 року у лікарські амбулаторії було зроблено </w:t>
      </w: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13790 відвідувань, з них: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Відвідувань з приводу захворювань дорослі – 8316;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Відвідувань з приводу захворювань діти – 2579;</w:t>
      </w:r>
    </w:p>
    <w:p w:rsidR="004B1FBA" w:rsidRP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Відвідувань на дому – 1856.</w:t>
      </w:r>
    </w:p>
    <w:p w:rsidR="004B1FBA" w:rsidRDefault="004B1FBA" w:rsidP="00071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>Крім того було звернення на ФАПи.</w:t>
      </w:r>
    </w:p>
    <w:p w:rsidR="00AF7DEE" w:rsidRDefault="00AF7DEE" w:rsidP="00AF7D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 w:rsidRPr="00AF7D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оказники здоров’я населення.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7DEE" w:rsidRPr="00AF7DEE" w:rsidRDefault="00AF7DEE" w:rsidP="00AF7D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Демографічні дані</w:t>
      </w:r>
      <w:r w:rsidRPr="00AF7D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7D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</w:t>
      </w:r>
      <w:r w:rsidRPr="004B1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9 місяців 2022 року</w:t>
      </w:r>
    </w:p>
    <w:p w:rsidR="00AF7DEE" w:rsidRDefault="00AF7DEE" w:rsidP="00AF7D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0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821"/>
        <w:gridCol w:w="1440"/>
        <w:gridCol w:w="1280"/>
        <w:gridCol w:w="1265"/>
        <w:gridCol w:w="1281"/>
      </w:tblGrid>
      <w:tr w:rsidR="004B1FBA" w:rsidRPr="004B1FBA" w:rsidTr="00AF7DEE">
        <w:trPr>
          <w:trHeight w:val="1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071B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07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Назва показника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217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2022 рік 9 міс.</w:t>
            </w:r>
            <w:r w:rsidR="00217F8A" w:rsidRPr="00AF7DEE">
              <w:rPr>
                <w:rFonts w:ascii="Times New Roman" w:eastAsia="Calibri" w:hAnsi="Times New Roman" w:cs="Times New Roman"/>
              </w:rPr>
              <w:t xml:space="preserve"> </w:t>
            </w:r>
            <w:r w:rsidRPr="004B1FBA">
              <w:rPr>
                <w:rFonts w:ascii="Times New Roman" w:eastAsia="Calibri" w:hAnsi="Times New Roman" w:cs="Times New Roman"/>
              </w:rPr>
              <w:t>ОТГ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217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2022 рік 9 міс.</w:t>
            </w:r>
            <w:r w:rsidR="00217F8A" w:rsidRPr="00AF7DEE">
              <w:rPr>
                <w:rFonts w:ascii="Times New Roman" w:eastAsia="Calibri" w:hAnsi="Times New Roman" w:cs="Times New Roman"/>
              </w:rPr>
              <w:t xml:space="preserve"> </w:t>
            </w:r>
            <w:r w:rsidRPr="004B1FBA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AF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2021 рік</w:t>
            </w:r>
            <w:r w:rsidR="00AF7DEE" w:rsidRPr="00AF7DEE">
              <w:rPr>
                <w:rFonts w:ascii="Times New Roman" w:eastAsia="Calibri" w:hAnsi="Times New Roman" w:cs="Times New Roman"/>
              </w:rPr>
              <w:t xml:space="preserve"> </w:t>
            </w:r>
            <w:r w:rsidRPr="004B1FBA">
              <w:rPr>
                <w:rFonts w:ascii="Times New Roman" w:eastAsia="Calibri" w:hAnsi="Times New Roman" w:cs="Times New Roman"/>
              </w:rPr>
              <w:t>ОТГ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4B1FBA" w:rsidRDefault="004B1FBA" w:rsidP="00AF7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1FBA">
              <w:rPr>
                <w:rFonts w:ascii="Times New Roman" w:eastAsia="Calibri" w:hAnsi="Times New Roman" w:cs="Times New Roman"/>
              </w:rPr>
              <w:t>2021 рік</w:t>
            </w:r>
            <w:r w:rsidR="00AF7DEE" w:rsidRPr="00AF7DEE">
              <w:rPr>
                <w:rFonts w:ascii="Times New Roman" w:eastAsia="Calibri" w:hAnsi="Times New Roman" w:cs="Times New Roman"/>
              </w:rPr>
              <w:t xml:space="preserve"> </w:t>
            </w:r>
            <w:r w:rsidRPr="004B1FBA">
              <w:rPr>
                <w:rFonts w:ascii="Times New Roman" w:eastAsia="Calibri" w:hAnsi="Times New Roman" w:cs="Times New Roman"/>
              </w:rPr>
              <w:t>Район</w:t>
            </w:r>
          </w:p>
        </w:tc>
      </w:tr>
      <w:tr w:rsidR="00AF7DEE" w:rsidRPr="004B1FBA" w:rsidTr="00AF7DEE">
        <w:trPr>
          <w:trHeight w:val="21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Народжуваність на 1000 населення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8,8</w:t>
            </w:r>
          </w:p>
        </w:tc>
      </w:tr>
      <w:tr w:rsidR="00AF7DEE" w:rsidRPr="004B1FBA" w:rsidTr="00AF7DEE">
        <w:trPr>
          <w:trHeight w:val="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Загальна смертність на 1000 населення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8,3</w:t>
            </w:r>
          </w:p>
        </w:tc>
      </w:tr>
      <w:tr w:rsidR="00AF7DEE" w:rsidRPr="004B1FBA" w:rsidTr="00AF7DEE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Малюкова смертність на 1000 народжених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</w:tr>
      <w:tr w:rsidR="00AF7DEE" w:rsidRPr="004B1FBA" w:rsidTr="00AF7DEE">
        <w:trPr>
          <w:trHeight w:val="1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 xml:space="preserve">Материнська смертність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</w:t>
            </w:r>
          </w:p>
        </w:tc>
      </w:tr>
      <w:tr w:rsidR="00AF7DEE" w:rsidRPr="004B1FBA" w:rsidTr="00AF7DEE">
        <w:trPr>
          <w:trHeight w:val="2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Природній приріст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BA" w:rsidRPr="00AF7DEE" w:rsidRDefault="004B1FBA" w:rsidP="00AF7DEE">
            <w:pPr>
              <w:pStyle w:val="a3"/>
              <w:rPr>
                <w:rFonts w:ascii="Times New Roman" w:hAnsi="Times New Roman" w:cs="Times New Roman"/>
              </w:rPr>
            </w:pPr>
            <w:r w:rsidRPr="00AF7DEE">
              <w:rPr>
                <w:rFonts w:ascii="Times New Roman" w:hAnsi="Times New Roman" w:cs="Times New Roman"/>
              </w:rPr>
              <w:t>0,5</w:t>
            </w:r>
          </w:p>
        </w:tc>
      </w:tr>
    </w:tbl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Показник загальної захворюваності по ОТГ всього за 9 міс.2022 р. –  448,4.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Показник загальної захворюваності по території обслуговування підприємства всього – 655,3.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Показник захворюваності серед дорослого населення всього 385,3, з якого на: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- першому місці хвороби органів дихання – 57%;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- другому місці інфекційні та паразитарні захворювання – 21%;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- третьому місці хвороби органів травлення – 7%;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Захворюваність гострим інфарктом міокарду – 0. Поширеність гострим інфарктом міокарду – 0.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Захворюваність на гостре порушення мозкового кровообігу – 9 (1,4). Поширеність на  гостре порушення мозкового кровообігу – 9 (1,4).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Показник захворюваності серед дитячого населення всього – 580,0, з якого на: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ab/>
        <w:t>- першому місці хвороби органів дихання – 77%;</w:t>
      </w:r>
      <w:r w:rsidRPr="004B1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ab/>
        <w:t>- другому місці інфекційні та паразитарні захворювання – 7%;</w:t>
      </w:r>
    </w:p>
    <w:p w:rsidR="004B1FBA" w:rsidRPr="004B1FBA" w:rsidRDefault="004B1FBA" w:rsidP="00217F8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ab/>
        <w:t xml:space="preserve">- третьому місці хвороби органів травлення – 5%; </w:t>
      </w:r>
    </w:p>
    <w:p w:rsidR="004B1FBA" w:rsidRPr="004B1FBA" w:rsidRDefault="004B1FBA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4B1FBA">
        <w:rPr>
          <w:rFonts w:ascii="Times New Roman" w:eastAsia="Calibri" w:hAnsi="Times New Roman" w:cs="Times New Roman"/>
          <w:b/>
          <w:sz w:val="28"/>
          <w:szCs w:val="28"/>
        </w:rPr>
        <w:t>Загальна захворюваність</w:t>
      </w:r>
    </w:p>
    <w:p w:rsidR="004B1FBA" w:rsidRPr="004B1FBA" w:rsidRDefault="004B1FBA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206CEED4" wp14:editId="0E130187">
            <wp:extent cx="5324475" cy="2581275"/>
            <wp:effectExtent l="0" t="0" r="9525" b="9525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1FBA" w:rsidRPr="004B1FBA" w:rsidRDefault="004B1FBA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sz w:val="28"/>
          <w:szCs w:val="28"/>
        </w:rPr>
        <w:t>Показник захворюваності серед дитячого населення</w:t>
      </w:r>
    </w:p>
    <w:p w:rsidR="004B1FBA" w:rsidRPr="004B1FBA" w:rsidRDefault="004B1FBA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A2E489A" wp14:editId="2CA3E409">
            <wp:extent cx="5486400" cy="2447925"/>
            <wp:effectExtent l="0" t="0" r="0" b="9525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7DEE" w:rsidRDefault="00AF7DEE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1FBA" w:rsidRPr="004B1FBA" w:rsidRDefault="004B1FBA" w:rsidP="00071B23">
      <w:pPr>
        <w:tabs>
          <w:tab w:val="left" w:pos="9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sz w:val="28"/>
          <w:szCs w:val="28"/>
        </w:rPr>
        <w:t>Захворюваність на інсульти</w:t>
      </w: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66FE791" wp14:editId="2E13654B">
            <wp:extent cx="4886325" cy="1790700"/>
            <wp:effectExtent l="0" t="0" r="9525" b="0"/>
            <wp:docPr id="3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7DEE" w:rsidRDefault="00AF7DEE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7DEE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sz w:val="28"/>
          <w:szCs w:val="28"/>
        </w:rPr>
        <w:t>Захворюваність на інфаркти</w:t>
      </w: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921A9E4" wp14:editId="5B7F59C8">
            <wp:extent cx="4829175" cy="2781300"/>
            <wp:effectExtent l="0" t="0" r="9525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7DEE" w:rsidRDefault="00AF7DEE" w:rsidP="00071B23">
      <w:pPr>
        <w:tabs>
          <w:tab w:val="left" w:pos="96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1FBA" w:rsidRPr="004B1FBA" w:rsidRDefault="004B1FBA" w:rsidP="00071B23">
      <w:pPr>
        <w:tabs>
          <w:tab w:val="left" w:pos="960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sz w:val="28"/>
          <w:szCs w:val="28"/>
        </w:rPr>
        <w:t>Первинний вакцинальний комплекс</w:t>
      </w: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A43236" wp14:editId="19271251">
            <wp:extent cx="4743450" cy="1962150"/>
            <wp:effectExtent l="0" t="0" r="0" b="0"/>
            <wp:docPr id="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7DEE" w:rsidRDefault="00AF7DEE" w:rsidP="00071B23">
      <w:pPr>
        <w:tabs>
          <w:tab w:val="left" w:pos="142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1FBA" w:rsidRPr="004B1FBA" w:rsidRDefault="004B1FBA" w:rsidP="00071B23">
      <w:pPr>
        <w:tabs>
          <w:tab w:val="left" w:pos="1425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Щеплення дорослого населення АДП-м</w:t>
      </w:r>
    </w:p>
    <w:p w:rsidR="004B1FBA" w:rsidRPr="004B1FBA" w:rsidRDefault="004B1FBA" w:rsidP="00071B23">
      <w:pPr>
        <w:tabs>
          <w:tab w:val="left" w:pos="1245"/>
        </w:tabs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AF678F5" wp14:editId="2C8B0614">
            <wp:extent cx="4724400" cy="1800225"/>
            <wp:effectExtent l="0" t="0" r="0" b="9525"/>
            <wp:docPr id="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1FBA" w:rsidRPr="004B1FBA" w:rsidRDefault="004B1FBA" w:rsidP="00071B2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B1FBA" w:rsidRPr="004B1FBA" w:rsidRDefault="004B1FBA" w:rsidP="00071B2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sz w:val="28"/>
          <w:szCs w:val="28"/>
        </w:rPr>
        <w:t>Боротьба з covid-19</w:t>
      </w:r>
    </w:p>
    <w:p w:rsidR="004B1FBA" w:rsidRPr="004B1FBA" w:rsidRDefault="004B1FBA" w:rsidP="00217F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Для боротьби з гострою респіраторною хворобою COVID-19, спричиненою корона вірусом SARS-CoV-2 у всіх амбулаторіях були відкриті пункти щеплень. Як вже говорилось всі амбулаторії забезпечені кисневими концентраторами, засобами захисту та експрес-тестами для діагностики даної хвороби.</w:t>
      </w:r>
    </w:p>
    <w:p w:rsidR="004B1FBA" w:rsidRPr="004B1FBA" w:rsidRDefault="004B1FBA" w:rsidP="00217F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За 2021 рік всього захворіло на COVID-19 739 осіб, з них 26 дітей, Госпіталізовано 63 людини.</w:t>
      </w:r>
    </w:p>
    <w:p w:rsidR="004B1FBA" w:rsidRPr="004B1FBA" w:rsidRDefault="004B1FBA" w:rsidP="00217F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За 9 місяців 2022 року захворіло на COVID-19 674 особи, з них 67 дітей. Госпіталізовано 9 осіб. Як видно зі статистики, незважаючи на війну, діагностика COVID-19 не припинялася і кількість захворівши прогностично буде більшою ніж минулого року. Частіше хворіють діти, проте протікає хвороба значно легше – різке зниження показників госпіталізації та смертності.</w:t>
      </w:r>
    </w:p>
    <w:p w:rsidR="004B1FBA" w:rsidRPr="004B1FBA" w:rsidRDefault="004B1FBA" w:rsidP="00217F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Не припинялась і профілактична робота стосовно COVID-19. Так у 2021 рік щеплено 2973 особи першою дозою, 2792 другою дозою.</w:t>
      </w:r>
    </w:p>
    <w:p w:rsidR="004B1FBA" w:rsidRPr="004B1FBA" w:rsidRDefault="004B1FBA" w:rsidP="00217F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За 2022 рік щеплено 3905 осіб першою дозою, 3437 другою дозою, що на 30% більше попереднього року. </w:t>
      </w: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sz w:val="28"/>
          <w:szCs w:val="28"/>
        </w:rPr>
        <w:t>Фінансування</w:t>
      </w:r>
    </w:p>
    <w:p w:rsidR="004B1FBA" w:rsidRPr="004B1FBA" w:rsidRDefault="004B1FBA" w:rsidP="00217F8A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За 9 міс. 2022 року консолідований бюджет КНП становив 44 421 396 грн, з них від НСЗУ профінансовано 38 748 405,79 грн. (87,2%), кошти територіальних громад – 5 038 870,96 (11%), з них кошти Городоцької територіальної громади становлять 765 007 грн. (без врахування відшкодування пільгових рецептів), що становить - 1,7% від всього бюджету КНП. Крім того за рахунок платних послуг та оренди КНП заробило 634 120 грн.</w:t>
      </w: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C74F425" wp14:editId="5DC72933">
            <wp:extent cx="4060317" cy="1938528"/>
            <wp:effectExtent l="19050" t="0" r="16383" b="457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1FBA" w:rsidRPr="004B1FBA" w:rsidRDefault="004B1FBA" w:rsidP="00071B23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1FBA" w:rsidRPr="004B1FBA" w:rsidRDefault="004B1FBA" w:rsidP="00071B2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FBA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C8469D0" wp14:editId="3EDC13B3">
            <wp:extent cx="3982339" cy="2168906"/>
            <wp:effectExtent l="19050" t="0" r="18161" b="2794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7DEE" w:rsidRDefault="00AF7DEE" w:rsidP="00AF7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FBA" w:rsidRPr="004B1FBA" w:rsidRDefault="004B1FBA" w:rsidP="00AF7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Як видно зі слайду найбільше коштів Підприємство отримало від Шпанівської сільської ради 26% від всієї суми, Городоцька сільська рада – 22,6%, Корнинська – 14%, Клеванська селищна рада – 13,1%, Білокриницька – 11,6%, Зорянська – 8,3%, Великоомелянська – 2,9, Дядьковицька – 1,5%.</w:t>
      </w:r>
    </w:p>
    <w:p w:rsidR="004B1FBA" w:rsidRPr="004B1FBA" w:rsidRDefault="004B1FBA" w:rsidP="00AF7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Кошти Городоцької сільської ради були спрямовані на комунальні послуги – 523 339,20 (68%), інші послуги (огляд димових та вентиляційних каналів, оренда приміщення) – 77 422 грн.. Проведення ремонту системи електроживлення Городоцької АЗПСМ – 43 070,69 грн., поточний ремонт Карпилівської АЗПСМ – 115 758,11 грн. Крім того були закуплені електроконвектори для Бронниківського ФАПУ, для створення альтернативного опалення  на суму 4 900 грн. </w:t>
      </w:r>
    </w:p>
    <w:p w:rsidR="004B1FBA" w:rsidRPr="004B1FBA" w:rsidRDefault="004B1FBA" w:rsidP="00AF7D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Нашим підприємством сплачено до сільського бюджету податок з фізичних осіб за 9 місяців поточного року на суму 1 240 543 грн., що на майже півмільйона гривень більше ніж нам надійшло з бюджету громади.</w:t>
      </w:r>
    </w:p>
    <w:p w:rsidR="004B1FBA" w:rsidRPr="004B1FBA" w:rsidRDefault="004B1FBA" w:rsidP="00217F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FBA" w:rsidRDefault="004B1FBA" w:rsidP="00217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sz w:val="28"/>
          <w:szCs w:val="28"/>
        </w:rPr>
        <w:t>Забезпечення пільгових категорій населення лікарськими засобами та виробами медичного призначення</w:t>
      </w:r>
    </w:p>
    <w:p w:rsidR="00AF7DEE" w:rsidRPr="004B1FBA" w:rsidRDefault="00AF7DEE" w:rsidP="00217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Городоцька сільська рада на 2022 рік виділила 232 000,00 грн. для забезпечення пільгових категорій населення лікарськими засобами і виробами медичного призначення, за 9 місяців використано коштів на суму 100 506,56 грн.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FBA">
        <w:rPr>
          <w:rFonts w:ascii="Times New Roman" w:eastAsia="Calibri" w:hAnsi="Times New Roman" w:cs="Times New Roman"/>
          <w:b/>
          <w:sz w:val="28"/>
          <w:szCs w:val="28"/>
        </w:rPr>
        <w:t>Проблемні питання: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1. Городоцька амбулаторія потребує поточного ремонту всіх будівель.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2. Враховуючи наявність достатньої кількості приміщень, є можливість розмістити адміністрацію ЦПМСД в приміщенні Обарівської амбулаторії. Для цього необхідно провести ремонт приміщень, як майбутнього адміністративного приміщення та і приміщень, які залишаться під амбулаторію.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3. Потребує поточного ремонт ФАП села Бронники.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4. Для покращення обслуговування сільського населення необхідно закупити санітарний автомобіль в Обарівську амбулаторію, який буде обслуговувати і Карпилівську амбулаторію.</w:t>
      </w:r>
    </w:p>
    <w:p w:rsidR="004B1FBA" w:rsidRPr="004B1FBA" w:rsidRDefault="004B1FBA" w:rsidP="00217F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lastRenderedPageBreak/>
        <w:t>5. Внаслідок морального та фізичного зносу необхідно закупівля ФЕКу в лабораторію Обарівської амбулаторії.</w:t>
      </w:r>
    </w:p>
    <w:p w:rsidR="004B1FBA" w:rsidRDefault="004B1FBA" w:rsidP="00217F8A">
      <w:pPr>
        <w:tabs>
          <w:tab w:val="left" w:pos="681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DC3" w:rsidRPr="004B1FBA" w:rsidRDefault="00582DC3" w:rsidP="00217F8A">
      <w:pPr>
        <w:tabs>
          <w:tab w:val="left" w:pos="6810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F8A" w:rsidRDefault="004B1FBA" w:rsidP="00217F8A">
      <w:pPr>
        <w:tabs>
          <w:tab w:val="left" w:pos="681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4B1FBA" w:rsidRPr="004B1FBA" w:rsidRDefault="004B1FBA" w:rsidP="00217F8A">
      <w:pPr>
        <w:tabs>
          <w:tab w:val="left" w:pos="681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FBA">
        <w:rPr>
          <w:rFonts w:ascii="Times New Roman" w:eastAsia="Calibri" w:hAnsi="Times New Roman" w:cs="Times New Roman"/>
          <w:sz w:val="28"/>
          <w:szCs w:val="28"/>
        </w:rPr>
        <w:t>КНП «Центр ПМСД «Медичний простір»                                    Валентин ХАНЕНКО</w:t>
      </w:r>
    </w:p>
    <w:p w:rsidR="004B1FBA" w:rsidRPr="004B1FBA" w:rsidRDefault="004B1FBA" w:rsidP="00217F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FBA" w:rsidRPr="004B1FBA" w:rsidRDefault="004B1FBA" w:rsidP="00217F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A" w:rsidRPr="00217F8A" w:rsidRDefault="00044ADA" w:rsidP="00217F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4ADA" w:rsidRPr="00217F8A" w:rsidSect="00AF7DEE">
      <w:headerReference w:type="default" r:id="rId14"/>
      <w:pgSz w:w="11906" w:h="16838"/>
      <w:pgMar w:top="1021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3F" w:rsidRDefault="000E453F" w:rsidP="00071B23">
      <w:pPr>
        <w:spacing w:after="0" w:line="240" w:lineRule="auto"/>
      </w:pPr>
      <w:r>
        <w:separator/>
      </w:r>
    </w:p>
  </w:endnote>
  <w:endnote w:type="continuationSeparator" w:id="0">
    <w:p w:rsidR="000E453F" w:rsidRDefault="000E453F" w:rsidP="0007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3F" w:rsidRDefault="000E453F" w:rsidP="00071B23">
      <w:pPr>
        <w:spacing w:after="0" w:line="240" w:lineRule="auto"/>
      </w:pPr>
      <w:r>
        <w:separator/>
      </w:r>
    </w:p>
  </w:footnote>
  <w:footnote w:type="continuationSeparator" w:id="0">
    <w:p w:rsidR="000E453F" w:rsidRDefault="000E453F" w:rsidP="0007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244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17F8A" w:rsidRPr="00217F8A" w:rsidRDefault="00217F8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7F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F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7F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B1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7F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BA"/>
    <w:rsid w:val="00044ADA"/>
    <w:rsid w:val="00071B23"/>
    <w:rsid w:val="000D56BD"/>
    <w:rsid w:val="000E453F"/>
    <w:rsid w:val="00183D5C"/>
    <w:rsid w:val="00217F8A"/>
    <w:rsid w:val="00255ACB"/>
    <w:rsid w:val="00312EF5"/>
    <w:rsid w:val="00482698"/>
    <w:rsid w:val="004B1FBA"/>
    <w:rsid w:val="00582DC3"/>
    <w:rsid w:val="00635885"/>
    <w:rsid w:val="00AF7DEE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A038"/>
  <w15:chartTrackingRefBased/>
  <w15:docId w15:val="{4BAF3262-3AE2-40CA-A981-BF73369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1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B23"/>
  </w:style>
  <w:style w:type="paragraph" w:styleId="a6">
    <w:name w:val="footer"/>
    <w:basedOn w:val="a"/>
    <w:link w:val="a7"/>
    <w:uiPriority w:val="99"/>
    <w:unhideWhenUsed/>
    <w:rsid w:val="00071B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хвороби</c:v>
                </c:pt>
                <c:pt idx="2">
                  <c:v>Хвороби органів травлення</c:v>
                </c:pt>
                <c:pt idx="3">
                  <c:v>Хвороби ендокринної сиситеми</c:v>
                </c:pt>
                <c:pt idx="4">
                  <c:v>Хвороби системи кровообігу</c:v>
                </c:pt>
                <c:pt idx="5">
                  <c:v>Хвороби ока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1952</c:v>
                </c:pt>
                <c:pt idx="1">
                  <c:v>705</c:v>
                </c:pt>
                <c:pt idx="2">
                  <c:v>251</c:v>
                </c:pt>
                <c:pt idx="3">
                  <c:v>217</c:v>
                </c:pt>
                <c:pt idx="4">
                  <c:v>141</c:v>
                </c:pt>
                <c:pt idx="5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9-4A2F-84B4-81452B0CF3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59356928832985556"/>
          <c:y val="0.21132242427351267"/>
          <c:w val="0.39435757482438977"/>
          <c:h val="0.7692151274059492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199"/>
      </a:pPr>
      <a:endParaRPr lang="uk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n-lt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захворювання</c:v>
                </c:pt>
                <c:pt idx="2">
                  <c:v>Хвороби органів травлення</c:v>
                </c:pt>
                <c:pt idx="3">
                  <c:v>Хвороби шкіри</c:v>
                </c:pt>
                <c:pt idx="4">
                  <c:v>Хвороби ока</c:v>
                </c:pt>
                <c:pt idx="5">
                  <c:v>Хвороби всечостатевої системи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984</c:v>
                </c:pt>
                <c:pt idx="1">
                  <c:v>87</c:v>
                </c:pt>
                <c:pt idx="2">
                  <c:v>68</c:v>
                </c:pt>
                <c:pt idx="3">
                  <c:v>63</c:v>
                </c:pt>
                <c:pt idx="4">
                  <c:v>54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D-45D8-B797-D69DD8DBDA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57223062399630786"/>
          <c:y val="3.2283069285014294E-2"/>
          <c:w val="0.42516056964782223"/>
          <c:h val="0.94369248648135862"/>
        </c:manualLayout>
      </c:layout>
      <c:overlay val="0"/>
      <c:txPr>
        <a:bodyPr/>
        <a:lstStyle/>
        <a:p>
          <a:pPr>
            <a:defRPr sz="1200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A-4D33-84EA-B3659B83D7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FA-4D33-84EA-B3659B83D7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2545024"/>
        <c:axId val="72547328"/>
      </c:barChart>
      <c:catAx>
        <c:axId val="7254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ru-RU" sz="10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72547328"/>
        <c:crosses val="autoZero"/>
        <c:auto val="1"/>
        <c:lblAlgn val="ctr"/>
        <c:lblOffset val="100"/>
        <c:noMultiLvlLbl val="0"/>
      </c:catAx>
      <c:valAx>
        <c:axId val="7254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72545024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/>
      <c:overlay val="0"/>
      <c:txPr>
        <a:bodyPr/>
        <a:lstStyle/>
        <a:p>
          <a:pPr>
            <a:defRPr lang="ru-RU" sz="1800" b="1">
              <a:solidFill>
                <a:schemeClr val="bg1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192835065804712E-2"/>
          <c:y val="5.9486123522568518E-2"/>
          <c:w val="0.78121465733108264"/>
          <c:h val="0.663352105076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9-4DF9-9384-6182767FF6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0.60000000000000064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39-4DF9-9384-6182767FF6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2721920"/>
        <c:axId val="72723456"/>
      </c:barChart>
      <c:catAx>
        <c:axId val="7272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2723456"/>
        <c:crosses val="autoZero"/>
        <c:auto val="1"/>
        <c:lblAlgn val="ctr"/>
        <c:lblOffset val="100"/>
        <c:noMultiLvlLbl val="0"/>
      </c:catAx>
      <c:valAx>
        <c:axId val="72723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272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81788951355306E-2"/>
          <c:y val="0.82750961656652933"/>
          <c:w val="0.70871559633027859"/>
          <c:h val="0.1362539722296137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2-4EF8-A8B9-CC93EAC94A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82.6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2-4EF8-A8B9-CC93EAC94A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7142784"/>
        <c:axId val="72851456"/>
      </c:barChart>
      <c:catAx>
        <c:axId val="8714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72851456"/>
        <c:crosses val="autoZero"/>
        <c:auto val="1"/>
        <c:lblAlgn val="ctr"/>
        <c:lblOffset val="100"/>
        <c:noMultiLvlLbl val="0"/>
      </c:catAx>
      <c:valAx>
        <c:axId val="72851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87142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7385508756822186"/>
          <c:y val="0.28295618453098781"/>
          <c:w val="0.22035767222589117"/>
          <c:h val="0.364355004610910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93901308757099E-2"/>
          <c:y val="5.3832542607212319E-2"/>
          <c:w val="0.71954088504126457"/>
          <c:h val="0.820521277382366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89.1</c:v>
                </c:pt>
                <c:pt idx="1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F-4690-A800-41B75E97D6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AF-4690-A800-41B75E97D6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0628864"/>
        <c:axId val="50647040"/>
      </c:barChart>
      <c:catAx>
        <c:axId val="5062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50647040"/>
        <c:crosses val="autoZero"/>
        <c:auto val="1"/>
        <c:lblAlgn val="ctr"/>
        <c:lblOffset val="100"/>
        <c:noMultiLvlLbl val="0"/>
      </c:catAx>
      <c:valAx>
        <c:axId val="50647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506288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6896324143560668"/>
          <c:y val="0.21071856627224941"/>
          <c:w val="0.22514869369020871"/>
          <c:h val="0.39349821936158547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Консолідований бюджет</a:t>
            </a:r>
          </a:p>
        </c:rich>
      </c:tx>
      <c:layout>
        <c:manualLayout>
          <c:xMode val="edge"/>
          <c:yMode val="edge"/>
          <c:x val="0.4391556127267896"/>
          <c:y val="3.9308176100628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71490948651141"/>
          <c:y val="0.1385899558498897"/>
          <c:w val="0.35626681684500461"/>
          <c:h val="0.785527041942601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Консолідований бюджет</c:v>
                </c:pt>
              </c:strCache>
            </c:strRef>
          </c:tx>
          <c:explosion val="25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377E-4367-A74C-497FA266443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Кошти НСЗУ </c:v>
                </c:pt>
                <c:pt idx="1">
                  <c:v>Кошти ОТГ </c:v>
                </c:pt>
                <c:pt idx="2">
                  <c:v>Зароблені кошти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87.2</c:v>
                </c:pt>
                <c:pt idx="1">
                  <c:v>11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7E-4367-A74C-497FA2664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Кошти ОТГ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Шпанівська</c:v>
                </c:pt>
                <c:pt idx="1">
                  <c:v>Городоцька </c:v>
                </c:pt>
                <c:pt idx="2">
                  <c:v>Корнинська</c:v>
                </c:pt>
                <c:pt idx="3">
                  <c:v>Клеванська</c:v>
                </c:pt>
                <c:pt idx="4">
                  <c:v>Білокриницька</c:v>
                </c:pt>
                <c:pt idx="5">
                  <c:v>Зорянська</c:v>
                </c:pt>
                <c:pt idx="6">
                  <c:v>Великоомелянська</c:v>
                </c:pt>
                <c:pt idx="7">
                  <c:v>Дядьковицька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</c:v>
                </c:pt>
                <c:pt idx="1">
                  <c:v>22.6</c:v>
                </c:pt>
                <c:pt idx="2">
                  <c:v>14</c:v>
                </c:pt>
                <c:pt idx="3">
                  <c:v>13.1</c:v>
                </c:pt>
                <c:pt idx="4">
                  <c:v>11.6</c:v>
                </c:pt>
                <c:pt idx="5">
                  <c:v>8.3000000000000007</c:v>
                </c:pt>
                <c:pt idx="6">
                  <c:v>2.9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2-40F0-8759-01BFF9AB4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4415</Words>
  <Characters>2517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6</cp:revision>
  <cp:lastPrinted>2022-12-01T08:43:00Z</cp:lastPrinted>
  <dcterms:created xsi:type="dcterms:W3CDTF">2022-11-28T09:55:00Z</dcterms:created>
  <dcterms:modified xsi:type="dcterms:W3CDTF">2022-12-06T07:32:00Z</dcterms:modified>
</cp:coreProperties>
</file>