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FE" w:rsidRPr="00CA3FFE" w:rsidRDefault="00CA3FFE" w:rsidP="00CA3FFE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uk-UA"/>
        </w:rPr>
      </w:pPr>
      <w:r w:rsidRPr="00CA3FFE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uk-UA"/>
        </w:rPr>
        <w:t xml:space="preserve">Додаток </w:t>
      </w:r>
    </w:p>
    <w:p w:rsidR="00CA3FFE" w:rsidRPr="00CA3FFE" w:rsidRDefault="00CA3FFE" w:rsidP="00CA3FFE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Городоцької сільської ради </w:t>
      </w:r>
    </w:p>
    <w:p w:rsidR="00CA3FFE" w:rsidRPr="00CA3FFE" w:rsidRDefault="00C664C8" w:rsidP="00CA3FFE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11.07.2022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№ 1027</w:t>
      </w:r>
    </w:p>
    <w:p w:rsidR="00CA3FFE" w:rsidRDefault="00CA3FFE" w:rsidP="00CA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593" w:rsidRDefault="00310593" w:rsidP="00CA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593" w:rsidRDefault="00310593" w:rsidP="00CA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FFE" w:rsidRPr="00CA3FFE" w:rsidRDefault="00CA3FFE" w:rsidP="00CA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</w:t>
      </w:r>
      <w:r w:rsidR="003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CA3FFE" w:rsidRPr="00CA3FFE" w:rsidRDefault="00CA3FFE" w:rsidP="00CA3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шкільний громадський бюджет у </w:t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Городоцькій сільській раді Рівненського району Рівненської області</w:t>
      </w:r>
    </w:p>
    <w:p w:rsidR="00CA3FFE" w:rsidRPr="00CA3FFE" w:rsidRDefault="00CA3FFE" w:rsidP="00CA3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FFE" w:rsidRDefault="00310593" w:rsidP="00310593">
      <w:pPr>
        <w:tabs>
          <w:tab w:val="left" w:pos="0"/>
        </w:tabs>
        <w:spacing w:after="0" w:line="240" w:lineRule="auto"/>
        <w:ind w:left="720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A3FFE"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Загальні положення та визначення термінів</w:t>
      </w:r>
    </w:p>
    <w:p w:rsidR="00310593" w:rsidRPr="00CA3FFE" w:rsidRDefault="00310593" w:rsidP="00310593">
      <w:pPr>
        <w:tabs>
          <w:tab w:val="left" w:pos="0"/>
        </w:tabs>
        <w:spacing w:after="0" w:line="240" w:lineRule="auto"/>
        <w:ind w:left="720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Положення про шкільний громадський бюджет у Городоцькій сільській раді Рівненського району Рівненської області (нада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 – Положення)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визначає основні вимоги до організації та впровадження шкільного громадського бюджету на території Городоцької територіальної громади.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Шкільний громадський бюджет - це: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інструмент для громадської участі учнів, що надає можливість покращити їхній освітній процес та позашкільний час. Це процес від подачі ідеї до підготовки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шкільний конкурс та обрання учнями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-переможців, які в подальшому будуть реалізовані в межах закладу освіти.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інструмент налагодження взаємодії, включення дітей і молоді у процес вироблення та прийняття рішень  місцевого бюджету та реалізації проектів для розвитку громад.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Метою 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юджету участі є залучення здобувачів освіти ЗЗСО до участі в бюджетному процесі шляхом подання ними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проведення відкритого голосування за них.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Завдання 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юджету участі: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підтримка реалізації концепції Нової української школи;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підвищення рівня довіри молоді до процесів прийняття рішень органами місцевої влади; їх залучення до процесів врядування;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підвищення рівня інформованості та обізнаності молоді у сфері бюджетування.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юджет участі оприлюднюється на офіційному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та (або) засобах масової інформації, в тому числі і друкованих.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такого механізму є формування свідомих та відповідальних молодих громадян, які активно залучені та впливають на розвиток і життєдіяльність своєї громади, голос яких є почутим, а думка – врахована.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Шкільний громадський бюджет має на меті навчити учнів створювати і розробляти ідеї, готувати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комунікувати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працювати в команді, розвинути відчуття причетності та важливості власного голосу. Під час створення та реалізації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формуються активні, свідомі молоді люди з критичним мисленням, які в майбутньому будуть брати участь у прийнятті рішень в громаді та суспільстві.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 Положення розроблено з урахуванням:</w:t>
      </w:r>
    </w:p>
    <w:p w:rsidR="00CA3FFE" w:rsidRPr="00CA3FFE" w:rsidRDefault="00CA3FFE" w:rsidP="00BB7F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Конвенції ООН про права дитини. Конвенція стверджує, що дітям належить мати власну думку у кожному аспекті життя, який їх стосується,</w:t>
      </w:r>
    </w:p>
    <w:p w:rsidR="00CA3FFE" w:rsidRPr="00CA3FFE" w:rsidRDefault="00CA3FFE" w:rsidP="00BB7F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Переглянутої Європейської хартії про участь молоді в місцевому та регіональному житті, </w:t>
      </w:r>
    </w:p>
    <w:p w:rsidR="00CA3FFE" w:rsidRPr="00CA3FFE" w:rsidRDefault="00CA3FFE" w:rsidP="00BB7F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повну загальну середню освіту», </w:t>
      </w:r>
    </w:p>
    <w:p w:rsidR="00CA3FFE" w:rsidRPr="00CA3FFE" w:rsidRDefault="00CA3FFE" w:rsidP="00BB7F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місцеве самоврядування в Україні».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Терміни, що використовуються в цьому Положенні, вживаються в такому значенні: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1) шкільний громадський бюджет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бюджет участі) – це процес взаємодії органів місцевого самоврядування з молоддю, спрямований на залучення здобувачів освіти закладів загальної середньої освіти (далі – ЗЗСО) до участі в бюджетному процесі шляхом подання ними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проведення відкритого громадського голосування за такі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подальшим фінансуванням для їхньої реалізації;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2) робоча група з реалізації шкільного громадського бюджету (далі – робоча група) – створена розпорядженням сільського голови, як постійно діючий консультативно-дорадчий орган, 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який складається з представників учнівського самоврядування шкіл, відділу освіти, культури, молоді та спорту, представників молодіжної ради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педагога-координатора з кожної школи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Основні завдання робочої групи – координація перебігу бюджету участі, вирішення спірних питань, здійснення аналізу щодо можливості реалізації запропонованих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відповідно до умов бюджету участі, відбір ідей учнів та визначення переліку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для голосування, затвердження                  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-переможців за результатами голосування та здійснення контролю за їх реалізацією</w:t>
      </w: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;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к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оординатор – представник школи, у повноваження якого входить консультування та допомога учням на усіх етапах бюджету участі, зберігання бланків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бланків для голосування, збір поданих учнями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передача їх до робочої групи, участь у підрахунку голосів;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4) конкурс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процедура визначення здобувачами освіти закладів загальної середньої освіти територіальної громади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-переможців шляхом відкритого голосування у порядку, встановленому цим Положенням, серед загальної кількості представлених для голосування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5)</w:t>
      </w:r>
      <w:r w:rsidRPr="00CA3FFE">
        <w:rPr>
          <w:rFonts w:ascii="Times New Roman" w:eastAsia="Calibri" w:hAnsi="Times New Roman" w:cs="Times New Roman"/>
          <w:sz w:val="28"/>
          <w:szCs w:val="28"/>
        </w:rPr>
        <w:t xml:space="preserve"> автор </w:t>
      </w:r>
      <w:proofErr w:type="spellStart"/>
      <w:r w:rsidRPr="00CA3FFE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CA3FFE">
        <w:rPr>
          <w:rFonts w:ascii="Times New Roman" w:eastAsia="Calibri" w:hAnsi="Times New Roman" w:cs="Times New Roman"/>
          <w:sz w:val="28"/>
          <w:szCs w:val="28"/>
        </w:rPr>
        <w:t xml:space="preserve">  – це учень/учениця або команда учнів/учениць з 6 по 11 клас з одного закладу загальної середньої освіти, які створили ідею, оформили її у вигляді </w:t>
      </w:r>
      <w:proofErr w:type="spellStart"/>
      <w:r w:rsidRPr="00CA3FFE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CA3FFE">
        <w:rPr>
          <w:rFonts w:ascii="Times New Roman" w:eastAsia="Calibri" w:hAnsi="Times New Roman" w:cs="Times New Roman"/>
          <w:sz w:val="28"/>
          <w:szCs w:val="28"/>
        </w:rPr>
        <w:t xml:space="preserve"> у спосіб, передбачений цим Положенням та подали на конкурс шкільного громадського бюджету;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6) </w:t>
      </w:r>
      <w:proofErr w:type="spellStart"/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програма, план дій, комплекс робіт, задум, ідея чи ініціатива, що подана автором відповідно до форми подання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відповідає вимогам, визначеним цим Положенням;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7) п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ідготовка і подання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учнями –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етап бюджету участі, під час якого автором розробляється ідея у вигляді бланку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подається у встановлений термін;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8) а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наліз проектів – 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етап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 участі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під час якого відбувається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поданих авторами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предмет відповідності вимогам цього Положення, місцевим нормативно-правовим актам та чинному Законодавству України. Аналіз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робочою групою;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9) б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ланк аналізу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документ встановленої форми для проведення аналізу поданих авторами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10) г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олосування – етап 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 участі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 під час якого учнями визначаються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-переможці серед представлених для голосування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встановлений термін;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11) у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часник голосування – учень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ЗЗСО 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ради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який закінчив повних 4 класи, та проголосував за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 спосіб, визначений цим положенням;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12) б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ланк для голосування</w:t>
      </w: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-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 встановленої форми для проведення голосування за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учнів;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13)  </w:t>
      </w:r>
      <w:proofErr w:type="spellStart"/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-переможці –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за результатами конкурсу набрали найбільшу кількість балів шляхом їх підрахунку;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14) пункт супроводу шкільного бюджету участі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пункт                 супроводу) </w:t>
      </w:r>
      <w:r w:rsidRPr="00CA3F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–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спеціально визначене місце, у якому відповідальні особи, члени робочої групи виконують функції прийому здобувачів освіти з питань шкільного бюджету участі (інформаційно-консультативна підтримка, прийом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, голосування тощо).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Інформаційно-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промоційна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кампанія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CA3FFE" w:rsidRPr="00310593" w:rsidRDefault="00CA3FFE" w:rsidP="0031059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10593">
        <w:rPr>
          <w:rFonts w:ascii="Times New Roman" w:hAnsi="Times New Roman" w:cs="Times New Roman"/>
          <w:sz w:val="28"/>
          <w:szCs w:val="28"/>
          <w:lang w:eastAsia="uk-UA"/>
        </w:rPr>
        <w:t>1. У процесі впровадження шкільного громадського бюджету протягом строку дії  проводиться інформаційно-</w:t>
      </w:r>
      <w:proofErr w:type="spellStart"/>
      <w:r w:rsidRPr="00310593">
        <w:rPr>
          <w:rFonts w:ascii="Times New Roman" w:hAnsi="Times New Roman" w:cs="Times New Roman"/>
          <w:sz w:val="28"/>
          <w:szCs w:val="28"/>
          <w:lang w:eastAsia="uk-UA"/>
        </w:rPr>
        <w:t>промоційна</w:t>
      </w:r>
      <w:proofErr w:type="spellEnd"/>
      <w:r w:rsidRPr="00310593">
        <w:rPr>
          <w:rFonts w:ascii="Times New Roman" w:hAnsi="Times New Roman" w:cs="Times New Roman"/>
          <w:sz w:val="28"/>
          <w:szCs w:val="28"/>
          <w:lang w:eastAsia="uk-UA"/>
        </w:rPr>
        <w:t xml:space="preserve"> кампанія, яку умовно можна поділити на такі етапи: </w:t>
      </w:r>
    </w:p>
    <w:p w:rsidR="00CA3FFE" w:rsidRPr="00310593" w:rsidRDefault="00CA3FFE" w:rsidP="00310593">
      <w:pPr>
        <w:pStyle w:val="a9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10593">
        <w:rPr>
          <w:rFonts w:ascii="Times New Roman" w:hAnsi="Times New Roman" w:cs="Times New Roman"/>
          <w:bCs/>
          <w:sz w:val="28"/>
          <w:szCs w:val="28"/>
          <w:lang w:eastAsia="ru-RU"/>
        </w:rPr>
        <w:t>2.Інформаційно-промоційну кампанію проводять: відділ освіти, культури, молоді та спорту  Городоцької сільської ради, робоча група</w:t>
      </w:r>
      <w:r w:rsidRPr="0031059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, члени </w:t>
      </w:r>
      <w:r w:rsidRPr="003105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Молодіжної ради: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ознайомлення здобувачів освіти закладів освіти з основними положеннями та принципами, хронологією, етапами і датами проведення заходів шкільного громадського бюджету з урахуванням останніх змін, а також заохочення їх до подачі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представлення отриманих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заохочення до участі в голосуванні;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розповсюдження інформації щодо перебігу та результатів реалізації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переможців шкільного громадського бюджету.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3. Порядок підготовки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проєктів</w:t>
      </w:r>
      <w:proofErr w:type="spellEnd"/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Проєкт шкільного громадського бюджету розробляється автором відповідно до форми подання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(додаток 1 до Положення).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Назва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викладається лаконічно, в межах одного речення. Назва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може суперечити його основній меті.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 План заходів з виконання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відображає логіку та етапи виконання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тому числі виготовлення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проєктно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-кошторисної документації та закупівлю товарів (виконання робіт, надання послуг тощо).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Розрахунки, креслення, фотографії, що розкривають сутність, цілі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можливість його практичної реалізації, можуть додаватися автором до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передбачено формою подання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При підготовці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автор забезпечує його відповідність таким вимогам: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бюджет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розрахований автором, включає всі витрати та погоджений структурним підрозділом з питань фінансів;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питання реалізації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знаходиться в межах повноважень органу місцевого самоврядування – Городоцької сільської ради;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реалізація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спрямована на покращення умов освітнього процесу;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реалізація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в межах одного календарного року;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 усі обов’язкові поля форми подання проекту мають бути  заповнені.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У рамках шкільного громадського бюджету не можуть прийматись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які: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розраховані тільки на розробку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проєктної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документації;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носять фрагментарний характер (виконання одного з елементів, що в майбутньому вимагатиме прийняття подальших елементів);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передбачають витрати на утримання та обслуговування в подальшому, що перевищують вартість реалізації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передбачають заходи з енергозбереження (заміна вікон, дверей тощо);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 не відповідають будь-якій з вимог, зазначених у пункті 5.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FFE" w:rsidRPr="00CA3FFE" w:rsidRDefault="00CA3FFE" w:rsidP="00BB7F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Порядок подання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участі в конкурсі може подати здобувач 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освіти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ЗЗСО Городоцької сільської ради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який закінчив повних 5 класів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Проєкт з додатками має бути поданий 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паперовому та (або)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електронному вигляді 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особисто автором до координатора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ЗЗСО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По завершенню п</w:t>
      </w:r>
      <w:r w:rsidRPr="00CA3F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ідготовки і подання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учнями координатор ЗЗСО передає робочій групі бланки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згідно з реєстром (додаток 2 до Положення).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Подаючи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реалізацію в рамках бюджету участі, його автор засвідчує свою згоду на вільне використання цього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ідеї, у тому числі після реалізації програми.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31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проекту 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 подавати не більше ніж 1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реалізація якого відбуватиметься за рахунок коштів шкільного громадського бюджету на території Городоцької сільської ради.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приймаються у визначені розпорядженням сільського голови терміни  протягом 14 календарних днів.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Із заповненими бланками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реалізація яких відбуватиметься за рахунок коштів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участі можна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ознайомитись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розділі «Шкільний громадський бюджет» на офіційному сайті Городоцької сільської  ради.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7. Автор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 у будь-який момент зняти свій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розгляду, але зробити це він повинен не пізніше ніж за 7 календарних днів до початку голосування.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Об’єднання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можливе лише за взаємною згодою авторів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Внесення змін щодо суті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можливе лише за згодою авторів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Автор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або уповноважена ним особа повинен представити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ході публічного обговорення. Метою такого обговорення є детальний аналіз представлених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Внесення можливих поправок до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можливе протягом 7 календарних днів від дня публічного обговорення.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FFE" w:rsidRPr="00CA3FFE" w:rsidRDefault="00CA3FFE" w:rsidP="00BB7F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Порядок розгляду та перевірки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Робоча група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 реєстр отриманих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реалізація яких відбуватиметься за рахунок коштів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участі (додаток 2 до Положення)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Після перевірки повноти і правильності заповнення бланку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робоча група: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у разі, якщо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 неповним або заповнений з помилками, робоча комісія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телефонічно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або електронною поштою повідомляє про це автора/авторів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проханням надати необхідну інформацію або внести корективи протягом 7 календарних днів з дня отримання відповідної інформації. У іншому випадку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  відхилений;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у разі, якщо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міститиме важливої інформації, необхідної для його аналізу та оцінки,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телефонічно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або електронною поштою звертаються до автора/авторів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проханням надати необхідну інформацію протягом 7 календарних днів;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протягом 7 календарних днів з дня отримання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здійснюють їх аналіз.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Результати аналізу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заносяться до бланку аналізу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(додаток 3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Положення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виступають ініціаторами зустрічей з авторами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разі, коли більше ніж один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стосується одного об’єкта. У разі, якщо протягом 7 календарних днів з дня відправлення інформації авторам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останні не дійдуть згоди і не опрацюють спільного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розглядатимуться в своєму початковому варіанті;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у певних ситуаціях можуть продовжити термін аналізу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реалізація який відбуватиметься за рахунок коштів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участі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14календарних днів.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Заповнені бланки аналізу з висновками щодо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робоча група розміщує у розділі «Шкільний громадський бюджет» на офіційному сайті Городоцької сільської ради.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За результатами розгляду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робоча група формує переліки позитивно і негативно оцінених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Переліки з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проєктами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реалізація яких відбуватиметься за рахунок коштів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участі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які отримали позитивну або ж негативну оцінку (з поданням 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причини відмови), розміщуються у розділі «Шкільний громадський бюджет» на офіційному сайті Городоцької сільської ради не пізніше як за 2 календарні дні до дня початку голосування.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що містять ненормативну лексику, наклепи, образи, заклики до насильства, повалення влади, зміну конституційного ладу країни тощо, розгляду і розміщенню не підлягають.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6. Голосування за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проєкти</w:t>
      </w:r>
      <w:proofErr w:type="spellEnd"/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Голосування за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триває протягом 15 робочих днів з дня початку голосування у визначені терміни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8.00 до 17.00 години у часи роботи визначених пунктів голосування - навчальних закладів.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Голосування за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учнів здійснюється в паперовому вигляді на бланку для голосування (додаток 4 до Положення).</w:t>
      </w:r>
    </w:p>
    <w:p w:rsidR="00CA3FFE" w:rsidRPr="00CA3FFE" w:rsidRDefault="00CA3FFE" w:rsidP="00BB7F19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</w:pPr>
      <w:r w:rsidRPr="00CA3FF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 xml:space="preserve">3. </w:t>
      </w:r>
      <w:r w:rsidRPr="00CA3FF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 видачі учню бланку для голосування Координатор прописує його порядковий номер та зазначає його у реєстрі учнів </w:t>
      </w:r>
      <w:r w:rsidRPr="00CA3FFE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ЗЗСО</w:t>
      </w:r>
      <w:r w:rsidRPr="00CA3FF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(додаток 5 до Положення)</w:t>
      </w:r>
      <w:r w:rsidRPr="00CA3FF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>.</w:t>
      </w:r>
    </w:p>
    <w:p w:rsidR="00CA3FFE" w:rsidRPr="00CA3FFE" w:rsidRDefault="00CA3FFE" w:rsidP="00BB7F19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</w:pPr>
      <w:r w:rsidRPr="00CA3FF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 xml:space="preserve">4. Перелік пунктів голосування з датою дня голосування має бути оприлюднений не пізніше як за 7 календарних днів до дня початку голосування. </w:t>
      </w:r>
    </w:p>
    <w:p w:rsidR="00CA3FFE" w:rsidRPr="00CA3FFE" w:rsidRDefault="00CA3FFE" w:rsidP="00BB7F19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</w:pPr>
      <w:r w:rsidRPr="00CA3FF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 xml:space="preserve">5. Голосування відбувається шляхом:  </w:t>
      </w:r>
    </w:p>
    <w:p w:rsidR="00CA3FFE" w:rsidRPr="00CA3FFE" w:rsidRDefault="00CA3FFE" w:rsidP="00BB7F19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</w:pPr>
      <w:r w:rsidRPr="00CA3FF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 xml:space="preserve">1) передачі працівниками робочої групи бланку голосування з переліком запропонованих </w:t>
      </w:r>
      <w:proofErr w:type="spellStart"/>
      <w:r w:rsidRPr="00CA3FF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 xml:space="preserve"> для голосування у пунктах голосування, визначених на території Городоцької сільської ради;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передачі здобувачами освіти заповненого бланку для голосування безпосередньо працівникам робочої групи – або опусканням заповненого бланку в скриньку для голосування.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На бланках для голосування учасник голосування може вибрати              з-поміж виставлених на голосування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 (один)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який попередньо отримав позитивну оцінку, реалізація якого відбуватиметься за рахунок кошів бюджету участі.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Учасник голосування, може проголосувати не більше, ніж за один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школи в якій навчається.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7. Встановлення результатів та визначення переможців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Після завершення кінцевого терміну голосування проводиться процедура в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становлення результатів та визначення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-переможців: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1) встановлення результатів та визначення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-переможців по кожному закладу освіти проводиться робочою групою  шляхом підрахунку голосів за поданий </w:t>
      </w:r>
      <w:proofErr w:type="spellStart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Під час підрахунку голосів, в якості спостерігачів, за поданням керівництва навчального накладу, долучаються здобувачі освіти відповідних навчальних закладів (крім учасників конкурсу);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результати голосування за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заносяться у реєстр голосів              (додаток 6 до Положення) та фіксуються у протоколі з подальшим оприлюдненням на офіційному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ради.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2. Перелік за рейтингом всіх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які відбувалось голосування, та перелік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-переможців розміщуються на офіційному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Городоцької сільської ради не пізніше 7 календарних днів з моменту встановлення результатів голосування.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Якщо за результатами голосування два або більше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відповідно до рейтингу є потенційними переможцями, отримали однакову кількість голосів, але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ресурсів не вистачає на реалізацію всіх цих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проводиться другий етап голосування між цими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проєктами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 не пізніше, ніж протягом одного тижня після першого етапу голосування.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FFE" w:rsidRDefault="00CA3FFE" w:rsidP="008A2A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Прикінцеві положення</w:t>
      </w:r>
    </w:p>
    <w:p w:rsidR="008A2AA7" w:rsidRPr="00CA3FFE" w:rsidRDefault="008A2AA7" w:rsidP="008A2AA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Консультації стосовно бюджету участі мають циклічний характер, тобто, повторюються кожний наступний рік.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Процес реалізації бюджету участі  підлягає моніторингу та щорічному оцінюванню, результати якого можуть використовуватися для впровадження змін з метою вдосконалення процесу реалізації громадського бюджетування.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Рекомендації стосовно змін в процедурі бюджету участі на кожний наступний рік розробляє робоча група. Персональний та кількісний склад робочої групи може бути змінений розпорядженням сільського голови. </w:t>
      </w:r>
    </w:p>
    <w:p w:rsidR="00CA3FFE" w:rsidRPr="00CA3FFE" w:rsidRDefault="00CA3FFE" w:rsidP="00BB7F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Реалізація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покладається на розпорядника коштів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кільного громадського бюджету – відділ освіти, культури, молоді та спорту Городоцької сільської ради, який може визначати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розпорядників нижчого рівня або одержувачі коштів на реалізацію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переможці підлягають фінансуванню за рахунок коштів місцевого бюджету та інших джерел, які не суперечать діючому законодавству.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Головний розпорядник коштів на реалізацію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громадського бюджетування направляє, в установленому порядку, фінансовому відділу Городоцької сільської ради запит на потребу в коштах на забезпечення їх фінансування.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7. Робоча група</w:t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результатами реалізації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-переможців оприлюднює підсумковий звіт про реалізацію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-переможців на офіційному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Городоцької сільської ради. </w:t>
      </w:r>
    </w:p>
    <w:p w:rsidR="00CA3FFE" w:rsidRPr="00CA3FFE" w:rsidRDefault="00CA3FFE" w:rsidP="00BB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Автори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-переможців можуть здійснювати контроль за реалізацією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Головний розпорядник (розпорядники нижчого рівня або одержувачі) коштів забезпечують взаємодію та координацію в межах бюджетного законодавства з авторами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-переможців у процесі їх реалізації. </w:t>
      </w:r>
    </w:p>
    <w:p w:rsidR="00CA3FFE" w:rsidRPr="00CA3FFE" w:rsidRDefault="00CA3FFE" w:rsidP="00CA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FE" w:rsidRPr="00CA3FFE" w:rsidRDefault="00CA3FFE" w:rsidP="00CA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FE" w:rsidRPr="00CA3FFE" w:rsidRDefault="00CA3FFE" w:rsidP="00CA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FE" w:rsidRPr="00CA3FFE" w:rsidRDefault="00CA3FFE" w:rsidP="00CA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FE" w:rsidRPr="00CA3FFE" w:rsidRDefault="00CA3FFE" w:rsidP="00CA3FF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31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Людмила СПІВАК</w:t>
      </w:r>
    </w:p>
    <w:p w:rsidR="00CA3FFE" w:rsidRPr="00CA3FFE" w:rsidRDefault="00CA3FFE" w:rsidP="00CA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A3FFE" w:rsidRPr="00CA3FFE" w:rsidRDefault="00CA3FFE" w:rsidP="00CA3FFE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Додаток 1</w:t>
      </w:r>
    </w:p>
    <w:p w:rsidR="00CA3FFE" w:rsidRPr="00CA3FFE" w:rsidRDefault="00CA3FFE" w:rsidP="00CA3FFE">
      <w:pPr>
        <w:widowControl w:val="0"/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Положення про шкільний громадський бюджет у  Городоцькій </w:t>
      </w:r>
    </w:p>
    <w:p w:rsidR="00CA3FFE" w:rsidRPr="00CA3FFE" w:rsidRDefault="00CA3FFE" w:rsidP="00CA3FFE">
      <w:pPr>
        <w:widowControl w:val="0"/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сільській раді</w:t>
      </w:r>
    </w:p>
    <w:p w:rsidR="00CA3FFE" w:rsidRPr="00CA3FFE" w:rsidRDefault="00CA3FFE" w:rsidP="00CA3FFE">
      <w:pPr>
        <w:widowControl w:val="0"/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БЛАНК ПРОЄКТУ № __</w:t>
      </w: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кільного громадського бюджету </w:t>
      </w: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Городоцькій територіальній громаді</w:t>
      </w: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A3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________________________________________</w:t>
      </w:r>
    </w:p>
    <w:p w:rsidR="00CA3FFE" w:rsidRPr="00CA3FFE" w:rsidRDefault="00CA3FFE" w:rsidP="00CA3F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 закладу загальної середньої освіти</w:t>
      </w:r>
    </w:p>
    <w:p w:rsidR="00CA3FFE" w:rsidRPr="00CA3FFE" w:rsidRDefault="00CA3FFE" w:rsidP="00CA3F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 </w:t>
      </w:r>
      <w:proofErr w:type="spellStart"/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(ім’я, прізвище, клас): 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НАЗВА ПРОЄКТУ.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ЩО ХОЧЕТЕ ЗРОБИТИ?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Опишіть детально</w:t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ЧОМУ ВИ ХОЧЕТЕ ЦЕ ЗРОБИТИ? 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зміниться у закладі загальної середньої освіти після вашого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СКІЛЬКИ ЧАСУ ПОТРІБНО ДЛЯ РЕАЛІЗАЦІЇ?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 ВИ ХОЧЕТЕ РЕАЛІЗУВАТИ ВАШ ПРОЄКТ?</w:t>
      </w:r>
    </w:p>
    <w:p w:rsidR="00CA3FFE" w:rsidRPr="00CA3FFE" w:rsidRDefault="00CA3FFE" w:rsidP="00CA3F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Опишіть докладно місце.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pacing w:after="0" w:line="240" w:lineRule="auto"/>
        <w:ind w:firstLine="6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FFE" w:rsidRPr="00CA3FFE" w:rsidRDefault="00CA3FFE" w:rsidP="00CA3FFE">
      <w:pPr>
        <w:spacing w:after="0" w:line="240" w:lineRule="auto"/>
        <w:ind w:firstLine="6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FFE" w:rsidRPr="00CA3FFE" w:rsidRDefault="00CA3FFE" w:rsidP="00CA3FFE">
      <w:pPr>
        <w:spacing w:after="0" w:line="240" w:lineRule="auto"/>
        <w:ind w:firstLine="6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Продовження додатка</w:t>
      </w:r>
    </w:p>
    <w:p w:rsidR="00CA3FFE" w:rsidRPr="00CA3FFE" w:rsidRDefault="00CA3FFE" w:rsidP="00CA3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3FFE" w:rsidRPr="00CA3FFE" w:rsidRDefault="00CA3FFE" w:rsidP="00CA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СКІЛЬКИ КОШТУВАТИМЕ ВАШ ПРОЄКТ (КОШТОРИС)?</w:t>
      </w:r>
    </w:p>
    <w:p w:rsidR="00CA3FFE" w:rsidRPr="00CA3FFE" w:rsidRDefault="00CA3FFE" w:rsidP="00CA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Надайте загальну суму, а також приблизну вартість різних витрат.</w:t>
      </w:r>
    </w:p>
    <w:p w:rsidR="00CA3FFE" w:rsidRPr="00CA3FFE" w:rsidRDefault="00CA3FFE" w:rsidP="00CA3F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60"/>
        <w:gridCol w:w="2160"/>
        <w:gridCol w:w="2340"/>
      </w:tblGrid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Перелік витрат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Кількість </w:t>
            </w:r>
            <w:r w:rsidRPr="00CA3F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одиниць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Вартість</w:t>
            </w:r>
            <w:r w:rsidRPr="00CA3F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грн.</w:t>
            </w: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7020" w:type="dxa"/>
            <w:gridSpan w:val="2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Загальна сума, грн.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3FFE" w:rsidRPr="00CA3FFE" w:rsidRDefault="00CA3FFE" w:rsidP="00CA3F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ОСІБ, ЯКІ ПІДТРИМУЮТЬ ПРОЄКТ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860"/>
        <w:gridCol w:w="2340"/>
        <w:gridCol w:w="1800"/>
      </w:tblGrid>
      <w:tr w:rsidR="00BB7F19" w:rsidRPr="00CA3FFE" w:rsidTr="00263821">
        <w:tc>
          <w:tcPr>
            <w:tcW w:w="468" w:type="dxa"/>
          </w:tcPr>
          <w:p w:rsidR="00CA3FFE" w:rsidRPr="00CA3FFE" w:rsidRDefault="00CA3FFE" w:rsidP="00CA3FF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0" w:type="dxa"/>
          </w:tcPr>
          <w:p w:rsidR="00CA3FFE" w:rsidRPr="00CA3FFE" w:rsidRDefault="00CA3FFE" w:rsidP="00CA3FF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Прізвище та ім’я учня</w:t>
            </w:r>
          </w:p>
        </w:tc>
        <w:tc>
          <w:tcPr>
            <w:tcW w:w="2340" w:type="dxa"/>
          </w:tcPr>
          <w:p w:rsidR="00CA3FFE" w:rsidRPr="00CA3FFE" w:rsidRDefault="00CA3FFE" w:rsidP="00CA3FF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1800" w:type="dxa"/>
          </w:tcPr>
          <w:p w:rsidR="00CA3FFE" w:rsidRPr="00CA3FFE" w:rsidRDefault="00CA3FFE" w:rsidP="00CA3FF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Підпис</w:t>
            </w:r>
          </w:p>
        </w:tc>
      </w:tr>
      <w:tr w:rsidR="00BB7F19" w:rsidRPr="00CA3FFE" w:rsidTr="00263821">
        <w:trPr>
          <w:trHeight w:val="495"/>
        </w:trPr>
        <w:tc>
          <w:tcPr>
            <w:tcW w:w="468" w:type="dxa"/>
            <w:vAlign w:val="center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32"/>
        </w:trPr>
        <w:tc>
          <w:tcPr>
            <w:tcW w:w="468" w:type="dxa"/>
            <w:vAlign w:val="center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40"/>
        </w:trPr>
        <w:tc>
          <w:tcPr>
            <w:tcW w:w="468" w:type="dxa"/>
            <w:vAlign w:val="center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0"/>
        </w:trPr>
        <w:tc>
          <w:tcPr>
            <w:tcW w:w="468" w:type="dxa"/>
            <w:vAlign w:val="center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7"/>
        </w:trPr>
        <w:tc>
          <w:tcPr>
            <w:tcW w:w="468" w:type="dxa"/>
            <w:vAlign w:val="center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A3FFE" w:rsidRPr="00CA3FFE" w:rsidRDefault="00CA3FFE" w:rsidP="00CA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CA3FFE" w:rsidRPr="00CA3FFE" w:rsidRDefault="00CA3FFE" w:rsidP="00CA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дата</w:t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 та ім’я автора</w:t>
      </w:r>
    </w:p>
    <w:p w:rsidR="00CA3FFE" w:rsidRPr="00CA3FFE" w:rsidRDefault="00CA3FFE" w:rsidP="00CA3F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_______/__________________/</w:t>
      </w:r>
    </w:p>
    <w:p w:rsidR="00CA3FFE" w:rsidRPr="00CA3FFE" w:rsidRDefault="00CA3FFE" w:rsidP="00CA3FFE">
      <w:pPr>
        <w:shd w:val="clear" w:color="auto" w:fill="FFFFFF"/>
        <w:spacing w:after="0" w:line="240" w:lineRule="auto"/>
        <w:ind w:left="5580" w:hanging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дата</w:t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 /    ПІБ одного з батьків /</w:t>
      </w:r>
    </w:p>
    <w:p w:rsidR="00CA3FFE" w:rsidRPr="00CA3FFE" w:rsidRDefault="00CA3FFE" w:rsidP="00CA3FFE">
      <w:pPr>
        <w:shd w:val="clear" w:color="auto" w:fill="FFFFFF"/>
        <w:spacing w:after="0" w:line="240" w:lineRule="auto"/>
        <w:ind w:left="6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автора або опікуна</w:t>
      </w:r>
    </w:p>
    <w:p w:rsidR="00CA3FFE" w:rsidRPr="00CA3FFE" w:rsidRDefault="00CA3FFE" w:rsidP="00CA3FFE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Додаток 2</w:t>
      </w:r>
    </w:p>
    <w:p w:rsidR="00CA3FFE" w:rsidRPr="00CA3FFE" w:rsidRDefault="00CA3FFE" w:rsidP="00CA3FFE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Положення про шкільний громадський бюджет у Городоцькій сільській раді </w:t>
      </w: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РЕЄСТР</w:t>
      </w: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поданих проектів </w:t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кільного громадського бюджету </w:t>
      </w: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Городоцькій територіальній громаді</w:t>
      </w: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A3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________________________________________</w:t>
      </w:r>
    </w:p>
    <w:p w:rsidR="00CA3FFE" w:rsidRPr="00CA3FFE" w:rsidRDefault="00CA3FFE" w:rsidP="00CA3F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 закладу загальної середньої освіти</w:t>
      </w:r>
    </w:p>
    <w:p w:rsidR="00CA3FFE" w:rsidRPr="00CA3FFE" w:rsidRDefault="00CA3FFE" w:rsidP="00CA3F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3915"/>
        <w:gridCol w:w="2520"/>
        <w:gridCol w:w="1800"/>
      </w:tblGrid>
      <w:tr w:rsidR="00BB7F19" w:rsidRPr="00CA3FFE" w:rsidTr="00263821">
        <w:tc>
          <w:tcPr>
            <w:tcW w:w="1233" w:type="dxa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проєкту</w:t>
            </w:r>
            <w:proofErr w:type="spellEnd"/>
          </w:p>
        </w:tc>
        <w:tc>
          <w:tcPr>
            <w:tcW w:w="3915" w:type="dxa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Назва </w:t>
            </w:r>
            <w:proofErr w:type="spellStart"/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проєкту</w:t>
            </w:r>
            <w:proofErr w:type="spellEnd"/>
          </w:p>
        </w:tc>
        <w:tc>
          <w:tcPr>
            <w:tcW w:w="2520" w:type="dxa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Прізвище та ім’я автора </w:t>
            </w:r>
            <w:proofErr w:type="spellStart"/>
            <w:r w:rsidRPr="00CA3F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проєкту</w:t>
            </w:r>
            <w:proofErr w:type="spellEnd"/>
          </w:p>
        </w:tc>
        <w:tc>
          <w:tcPr>
            <w:tcW w:w="1800" w:type="dxa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Підпис автора </w:t>
            </w:r>
            <w:proofErr w:type="spellStart"/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проєкту</w:t>
            </w:r>
            <w:proofErr w:type="spellEnd"/>
          </w:p>
        </w:tc>
      </w:tr>
      <w:tr w:rsidR="00BB7F19" w:rsidRPr="00CA3FFE" w:rsidTr="00263821">
        <w:trPr>
          <w:trHeight w:val="575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9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1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43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3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9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3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33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7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75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9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1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43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Координатор </w:t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</w:t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_______/__________________/</w:t>
      </w: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підпис</w:t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дата</w:t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ПІБ</w:t>
      </w:r>
    </w:p>
    <w:p w:rsidR="00CA3FFE" w:rsidRPr="00CA3FFE" w:rsidRDefault="00CA3FFE" w:rsidP="00CA3FFE">
      <w:pPr>
        <w:widowControl w:val="0"/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Додаток 3</w:t>
      </w:r>
    </w:p>
    <w:p w:rsidR="00CA3FFE" w:rsidRPr="00CA3FFE" w:rsidRDefault="00CA3FFE" w:rsidP="00CA3FFE">
      <w:pPr>
        <w:widowControl w:val="0"/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Положення про шкільний громадський бюджет в Городоцькій  сільській раді</w:t>
      </w:r>
    </w:p>
    <w:p w:rsidR="00CA3FFE" w:rsidRPr="00CA3FFE" w:rsidRDefault="00CA3FFE" w:rsidP="00CA3F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БЛАНК АНАЛІЗУ ПРОЄКТУ</w:t>
      </w: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кільного громадського бюджету </w:t>
      </w:r>
    </w:p>
    <w:p w:rsidR="00CA3FFE" w:rsidRPr="00CA3FFE" w:rsidRDefault="00CA3FFE" w:rsidP="00CA3F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 </w:t>
      </w: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Городоцькій </w:t>
      </w:r>
      <w:proofErr w:type="spellStart"/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територіальнійгромаді</w:t>
      </w:r>
      <w:proofErr w:type="spellEnd"/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CA3FFE" w:rsidRPr="00CA3FFE" w:rsidRDefault="00CA3FFE" w:rsidP="00CA3F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Назва  закладу загальної середньої освіти:</w:t>
      </w:r>
    </w:p>
    <w:p w:rsidR="00CA3FFE" w:rsidRPr="00CA3FFE" w:rsidRDefault="00CA3FFE" w:rsidP="00CA3FFE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A3FFE" w:rsidRPr="00CA3FFE" w:rsidRDefault="00CA3FFE" w:rsidP="00CA3FFE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Номер та назва </w:t>
      </w:r>
      <w:proofErr w:type="spellStart"/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3FFE" w:rsidRPr="00CA3FFE" w:rsidRDefault="00CA3FFE" w:rsidP="00CA3FFE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    _____________________________________________________________</w:t>
      </w:r>
    </w:p>
    <w:p w:rsidR="00CA3FFE" w:rsidRPr="00CA3FFE" w:rsidRDefault="00CA3FFE" w:rsidP="00CA3FFE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A3FFE" w:rsidRPr="00CA3FFE" w:rsidRDefault="00CA3FFE" w:rsidP="00CA3FFE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Прізвище та ім’я автора </w:t>
      </w:r>
      <w:proofErr w:type="spellStart"/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3FFE" w:rsidRPr="00CA3FFE" w:rsidRDefault="00CA3FFE" w:rsidP="00CA3FFE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A3FFE" w:rsidRPr="00CA3FFE" w:rsidRDefault="00CA3FFE" w:rsidP="00CA3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Бланк проекту заповнено автором згідно з вимогами Програми»: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так;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ні.</w:t>
      </w:r>
    </w:p>
    <w:p w:rsidR="00CA3FFE" w:rsidRPr="00CA3FFE" w:rsidRDefault="00CA3FFE" w:rsidP="00CA3FF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У разі </w:t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невідповідності </w:t>
      </w:r>
      <w:proofErr w:type="spellStart"/>
      <w:r w:rsidRPr="00CA3F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вимогам Програми</w:t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було здійснено звернення до автора і автор у визначений термін: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надав додаткову інформацію (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доопрацьований);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надав додаткову інформацію (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відхилений).</w:t>
      </w:r>
    </w:p>
    <w:p w:rsidR="00CA3FFE" w:rsidRPr="00CA3FFE" w:rsidRDefault="00CA3FFE" w:rsidP="00CA3FF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Реалізація </w:t>
      </w:r>
      <w:proofErr w:type="spellStart"/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входить до повноважень цього закладу загальної середньої освіти: 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так;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ні (чому?).</w:t>
      </w:r>
    </w:p>
    <w:p w:rsidR="00CA3FFE" w:rsidRPr="00CA3FFE" w:rsidRDefault="00CA3FFE" w:rsidP="00CA3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A3FFE" w:rsidRPr="00CA3FFE" w:rsidRDefault="00CA3FFE" w:rsidP="00CA3FFE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 Реалізація </w:t>
      </w:r>
      <w:proofErr w:type="spellStart"/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може відбутися протягом цього бюджетного року: 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так;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ні (чому?).</w:t>
      </w:r>
    </w:p>
    <w:p w:rsidR="00CA3FFE" w:rsidRPr="00CA3FFE" w:rsidRDefault="00CA3FFE" w:rsidP="00CA3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A3FFE" w:rsidRPr="00CA3FFE" w:rsidRDefault="00CA3FFE" w:rsidP="00CA3FF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 Кошторис </w:t>
      </w:r>
      <w:proofErr w:type="spellStart"/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 без зауважень;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із зауваженнями (необхідно змінити, додати, уточнити або видалити перелік витрат). 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FE" w:rsidRPr="00CA3FFE" w:rsidRDefault="00CA3FFE" w:rsidP="00CA3FFE">
      <w:pPr>
        <w:spacing w:after="0" w:line="240" w:lineRule="auto"/>
        <w:ind w:firstLine="6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Продовження додатка</w:t>
      </w:r>
    </w:p>
    <w:p w:rsidR="00CA3FFE" w:rsidRPr="00CA3FFE" w:rsidRDefault="00CA3FFE" w:rsidP="00CA3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FFE" w:rsidRPr="00CA3FFE" w:rsidRDefault="00CA3FFE" w:rsidP="00CA3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Обґрунтування:</w:t>
      </w:r>
    </w:p>
    <w:p w:rsidR="00CA3FFE" w:rsidRPr="00CA3FFE" w:rsidRDefault="00CA3FFE" w:rsidP="00CA3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A3FFE" w:rsidRPr="00CA3FFE" w:rsidRDefault="00CA3FFE" w:rsidP="00CA3FF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Оновлений кошторис </w:t>
      </w:r>
      <w:proofErr w:type="spellStart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60"/>
        <w:gridCol w:w="2160"/>
        <w:gridCol w:w="2340"/>
      </w:tblGrid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Перелік витрат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Кількість </w:t>
            </w:r>
            <w:r w:rsidRPr="00CA3F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одиниць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Вартість</w:t>
            </w:r>
            <w:r w:rsidRPr="00CA3F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грн.</w:t>
            </w: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48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F19" w:rsidRPr="00CA3FFE" w:rsidTr="00263821">
        <w:tc>
          <w:tcPr>
            <w:tcW w:w="7020" w:type="dxa"/>
            <w:gridSpan w:val="2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Загальна сума, грн.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A3FFE" w:rsidRPr="00CA3FFE" w:rsidRDefault="00CA3FFE" w:rsidP="00CA3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3FFE" w:rsidRPr="00CA3FFE" w:rsidRDefault="00CA3FFE" w:rsidP="00CA3FF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 Висновок щодо можливості виконання </w:t>
      </w:r>
      <w:proofErr w:type="spellStart"/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позитивний;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негативний (чому?).</w:t>
      </w:r>
    </w:p>
    <w:p w:rsidR="00CA3FFE" w:rsidRPr="00CA3FFE" w:rsidRDefault="00CA3FFE" w:rsidP="00CA3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A3FFE" w:rsidRPr="00CA3FFE" w:rsidRDefault="00CA3FFE" w:rsidP="00CA3FF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 Висновок Ради щодо допущення </w:t>
      </w:r>
      <w:proofErr w:type="spellStart"/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голосування: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допустити;</w:t>
      </w:r>
    </w:p>
    <w:p w:rsidR="00CA3FFE" w:rsidRPr="00CA3FFE" w:rsidRDefault="00CA3FFE" w:rsidP="00CA3FF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відхилити (чому?).</w:t>
      </w:r>
    </w:p>
    <w:p w:rsidR="00CA3FFE" w:rsidRPr="00CA3FFE" w:rsidRDefault="00CA3FFE" w:rsidP="00CA3F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FE" w:rsidRPr="00CA3FFE" w:rsidRDefault="00CA3FFE" w:rsidP="00CA3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Обґрунтування:</w:t>
      </w:r>
    </w:p>
    <w:p w:rsidR="00CA3FFE" w:rsidRPr="00CA3FFE" w:rsidRDefault="00CA3FFE" w:rsidP="00CA3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A3FFE" w:rsidRPr="00CA3FFE" w:rsidRDefault="00CA3FFE" w:rsidP="00CA3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FE" w:rsidRPr="00CA3FFE" w:rsidRDefault="00CA3FFE" w:rsidP="00CA3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FFE" w:rsidRPr="00CA3FFE" w:rsidRDefault="00CA3FFE" w:rsidP="00CA3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</w:t>
      </w:r>
    </w:p>
    <w:p w:rsidR="00CA3FFE" w:rsidRPr="00CA3FFE" w:rsidRDefault="00CA3FFE" w:rsidP="00CA3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(дата)</w:t>
      </w:r>
      <w:r w:rsidRPr="00CA3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(підпис)</w:t>
      </w:r>
      <w:r w:rsidRPr="00CA3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CA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/ заступник голови Ради) </w:t>
      </w:r>
    </w:p>
    <w:p w:rsidR="00CA3FFE" w:rsidRPr="00CA3FFE" w:rsidRDefault="00CA3FFE" w:rsidP="00CA3FFE">
      <w:pPr>
        <w:widowControl w:val="0"/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Додаток 4</w:t>
      </w:r>
    </w:p>
    <w:p w:rsidR="00CA3FFE" w:rsidRPr="00CA3FFE" w:rsidRDefault="00CA3FFE" w:rsidP="00CA3FFE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Положення про шкільний громадський бюджет у Городоцькій сільській раді</w:t>
      </w:r>
    </w:p>
    <w:p w:rsidR="00CA3FFE" w:rsidRPr="00CA3FFE" w:rsidRDefault="00CA3FFE" w:rsidP="00CA3FFE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FFE" w:rsidRPr="00CA3FFE" w:rsidRDefault="00CA3FFE" w:rsidP="00CA3F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БЛАНК ДЛЯ ГОЛОСУВАННЯ №___</w:t>
      </w: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кільного громадського бюджету </w:t>
      </w: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Городоцькій територіальній громаді</w:t>
      </w:r>
      <w:r w:rsidRPr="00CA3F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A3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________________________________________</w:t>
      </w:r>
    </w:p>
    <w:p w:rsidR="00CA3FFE" w:rsidRPr="00CA3FFE" w:rsidRDefault="00CA3FFE" w:rsidP="00CA3F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 закладу загальної середньої освіти</w:t>
      </w:r>
    </w:p>
    <w:p w:rsidR="00CA3FFE" w:rsidRPr="00CA3FFE" w:rsidRDefault="00CA3FFE" w:rsidP="00CA3F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Ваше прізвище та ім’я:</w:t>
      </w: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Ваш клас:</w:t>
      </w: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</w:t>
      </w:r>
    </w:p>
    <w:p w:rsidR="00CA3FFE" w:rsidRPr="00CA3FFE" w:rsidRDefault="00CA3FFE" w:rsidP="00CA3F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Номер та назва </w:t>
      </w:r>
      <w:proofErr w:type="spellStart"/>
      <w:r w:rsidRPr="00CA3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проєкту</w:t>
      </w:r>
      <w:proofErr w:type="spellEnd"/>
      <w:r w:rsidRPr="00CA3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 який Ви голосуєте:</w:t>
      </w:r>
      <w:r w:rsidRPr="00CA3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Pr="00CA3FF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______________________________________________________</w:t>
      </w:r>
    </w:p>
    <w:p w:rsidR="00CA3FFE" w:rsidRPr="00CA3FFE" w:rsidRDefault="00CA3FFE" w:rsidP="00CA3FFE">
      <w:pPr>
        <w:widowControl w:val="0"/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 w:type="page"/>
      </w: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Додаток 5</w:t>
      </w:r>
    </w:p>
    <w:p w:rsidR="00CA3FFE" w:rsidRPr="00CA3FFE" w:rsidRDefault="00CA3FFE" w:rsidP="00CA3FFE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Положення про шкільний громадський бюджет у Городоцькій  сільській раді</w:t>
      </w:r>
    </w:p>
    <w:p w:rsidR="00CA3FFE" w:rsidRPr="00CA3FFE" w:rsidRDefault="00CA3FFE" w:rsidP="00CA3FFE">
      <w:pPr>
        <w:shd w:val="clear" w:color="auto" w:fill="FFFFFF"/>
        <w:spacing w:after="0" w:line="240" w:lineRule="auto"/>
        <w:ind w:left="485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3FFE" w:rsidRPr="00CA3FFE" w:rsidRDefault="00CA3FFE" w:rsidP="00CA3F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РЕЄСТР УЧНІВ </w:t>
      </w: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кільного громадського бюджету </w:t>
      </w: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Городоцькій територіальній громаді</w:t>
      </w:r>
      <w:r w:rsidRPr="00CA3F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A3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________________________________________</w:t>
      </w:r>
    </w:p>
    <w:p w:rsidR="00CA3FFE" w:rsidRPr="00CA3FFE" w:rsidRDefault="00CA3FFE" w:rsidP="00CA3F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 закладу загальної середньої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602"/>
        <w:gridCol w:w="2078"/>
      </w:tblGrid>
      <w:tr w:rsidR="00BB7F19" w:rsidRPr="00CA3FFE" w:rsidTr="00263821">
        <w:tc>
          <w:tcPr>
            <w:tcW w:w="648" w:type="dxa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40" w:type="dxa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Прізвище та ім’я учня</w:t>
            </w:r>
          </w:p>
        </w:tc>
        <w:tc>
          <w:tcPr>
            <w:tcW w:w="2602" w:type="dxa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 учня</w:t>
            </w:r>
          </w:p>
        </w:tc>
        <w:tc>
          <w:tcPr>
            <w:tcW w:w="2078" w:type="dxa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бланку для голосування</w:t>
            </w:r>
          </w:p>
        </w:tc>
      </w:tr>
      <w:tr w:rsidR="00BB7F19" w:rsidRPr="00CA3FFE" w:rsidTr="00263821">
        <w:trPr>
          <w:trHeight w:val="575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9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1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43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3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9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3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33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7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75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9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1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43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3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9"/>
        </w:trPr>
        <w:tc>
          <w:tcPr>
            <w:tcW w:w="64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A3FFE" w:rsidRPr="00CA3FFE" w:rsidRDefault="00CA3FFE" w:rsidP="00CA3F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Координатор </w:t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</w:t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_______/__________________/</w:t>
      </w: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підпис</w:t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дата</w:t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ПІБ</w:t>
      </w:r>
    </w:p>
    <w:p w:rsidR="00CA3FFE" w:rsidRPr="00CA3FFE" w:rsidRDefault="00CA3FFE" w:rsidP="00CA3FFE">
      <w:pPr>
        <w:widowControl w:val="0"/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Додаток 6</w:t>
      </w:r>
    </w:p>
    <w:p w:rsidR="00CA3FFE" w:rsidRPr="00CA3FFE" w:rsidRDefault="00CA3FFE" w:rsidP="00CA3FFE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Положення про шкільний громадський бюджет у Городоцькій сільській раді</w:t>
      </w:r>
    </w:p>
    <w:p w:rsidR="00CA3FFE" w:rsidRPr="00CA3FFE" w:rsidRDefault="00CA3FFE" w:rsidP="00CA3FFE">
      <w:pPr>
        <w:widowControl w:val="0"/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3FFE" w:rsidRPr="00CA3FFE" w:rsidRDefault="00CA3FFE" w:rsidP="00CA3F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РЕЄСТР ГОЛОСІВ</w:t>
      </w: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кільного громадського бюджету </w:t>
      </w:r>
    </w:p>
    <w:p w:rsidR="00CA3FFE" w:rsidRPr="00CA3FFE" w:rsidRDefault="00CA3FFE" w:rsidP="00CA3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Городоцькій  територіальній громаді</w:t>
      </w:r>
      <w:r w:rsidRPr="00CA3F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A3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________________________________________</w:t>
      </w:r>
    </w:p>
    <w:p w:rsidR="00CA3FFE" w:rsidRPr="00CA3FFE" w:rsidRDefault="00CA3FFE" w:rsidP="00CA3F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 закладу загальної середньої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3015"/>
        <w:gridCol w:w="1980"/>
        <w:gridCol w:w="1800"/>
        <w:gridCol w:w="1440"/>
      </w:tblGrid>
      <w:tr w:rsidR="00BB7F19" w:rsidRPr="00CA3FFE" w:rsidTr="00263821">
        <w:tc>
          <w:tcPr>
            <w:tcW w:w="1233" w:type="dxa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проєкту</w:t>
            </w:r>
            <w:proofErr w:type="spellEnd"/>
          </w:p>
        </w:tc>
        <w:tc>
          <w:tcPr>
            <w:tcW w:w="3015" w:type="dxa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Назва </w:t>
            </w:r>
            <w:proofErr w:type="spellStart"/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проєкту</w:t>
            </w:r>
            <w:proofErr w:type="spellEnd"/>
          </w:p>
        </w:tc>
        <w:tc>
          <w:tcPr>
            <w:tcW w:w="1980" w:type="dxa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Прізвище та ім’я автора </w:t>
            </w:r>
            <w:proofErr w:type="spellStart"/>
            <w:r w:rsidRPr="00CA3F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проєкту</w:t>
            </w:r>
            <w:proofErr w:type="spellEnd"/>
          </w:p>
        </w:tc>
        <w:tc>
          <w:tcPr>
            <w:tcW w:w="1800" w:type="dxa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голосів</w:t>
            </w:r>
          </w:p>
        </w:tc>
        <w:tc>
          <w:tcPr>
            <w:tcW w:w="1440" w:type="dxa"/>
            <w:vAlign w:val="center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Загальна сума </w:t>
            </w:r>
            <w:proofErr w:type="spellStart"/>
            <w:r w:rsidRPr="00CA3F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проєкту</w:t>
            </w:r>
            <w:proofErr w:type="spellEnd"/>
          </w:p>
        </w:tc>
      </w:tr>
      <w:tr w:rsidR="00BB7F19" w:rsidRPr="00CA3FFE" w:rsidTr="00263821">
        <w:trPr>
          <w:trHeight w:val="575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9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1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43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3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9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3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33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7F19" w:rsidRPr="00CA3FFE" w:rsidTr="00263821">
        <w:trPr>
          <w:trHeight w:val="527"/>
        </w:trPr>
        <w:tc>
          <w:tcPr>
            <w:tcW w:w="1233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CA3FFE" w:rsidRPr="00CA3FFE" w:rsidRDefault="00CA3FFE" w:rsidP="00C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Директор/</w:t>
      </w: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 директора</w:t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</w:t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B7F1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підпис</w:t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ПІБ</w:t>
      </w: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Координатор 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підпис</w:t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ПІБ</w:t>
      </w: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Ради / член Ради</w:t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</w:t>
      </w:r>
      <w:r w:rsidRPr="00CA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A3FFE" w:rsidRPr="00CA3FFE" w:rsidRDefault="00CA3FFE" w:rsidP="00CA3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підпис</w:t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CA3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ПІБ</w:t>
      </w:r>
    </w:p>
    <w:p w:rsidR="00CA3FFE" w:rsidRPr="00CA3FFE" w:rsidRDefault="00CA3FFE" w:rsidP="00CA3F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FFE" w:rsidRPr="00CA3FFE" w:rsidRDefault="00CA3FFE" w:rsidP="00CA3F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</w:p>
    <w:p w:rsidR="00CA3FFE" w:rsidRPr="00CA3FFE" w:rsidRDefault="00CA3FFE" w:rsidP="00CA3F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</w:p>
    <w:p w:rsidR="00CA3FFE" w:rsidRPr="00CA3FFE" w:rsidRDefault="00CA3FFE" w:rsidP="00CA3F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3FF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ради</w:t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A3F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CA3FFE" w:rsidRPr="00CA3FFE" w:rsidRDefault="00CA3FFE" w:rsidP="00CA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ADA" w:rsidRPr="00BB7F19" w:rsidRDefault="00044ADA"/>
    <w:sectPr w:rsidR="00044ADA" w:rsidRPr="00BB7F19" w:rsidSect="00BB7F1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2F" w:rsidRDefault="00D3772F" w:rsidP="00BB7F19">
      <w:pPr>
        <w:spacing w:after="0" w:line="240" w:lineRule="auto"/>
      </w:pPr>
      <w:r>
        <w:separator/>
      </w:r>
    </w:p>
  </w:endnote>
  <w:endnote w:type="continuationSeparator" w:id="0">
    <w:p w:rsidR="00D3772F" w:rsidRDefault="00D3772F" w:rsidP="00BB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2F" w:rsidRDefault="00D3772F" w:rsidP="00BB7F19">
      <w:pPr>
        <w:spacing w:after="0" w:line="240" w:lineRule="auto"/>
      </w:pPr>
      <w:r>
        <w:separator/>
      </w:r>
    </w:p>
  </w:footnote>
  <w:footnote w:type="continuationSeparator" w:id="0">
    <w:p w:rsidR="00D3772F" w:rsidRDefault="00D3772F" w:rsidP="00BB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5D" w:rsidRDefault="00ED7E36" w:rsidP="00E43E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5E5D" w:rsidRDefault="00D377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456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B7F19" w:rsidRPr="00BB7F19" w:rsidRDefault="00BB7F1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7F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7F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7F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64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7F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6335"/>
    <w:multiLevelType w:val="multilevel"/>
    <w:tmpl w:val="F7505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b w:val="0"/>
      </w:rPr>
    </w:lvl>
  </w:abstractNum>
  <w:abstractNum w:abstractNumId="1" w15:restartNumberingAfterBreak="0">
    <w:nsid w:val="531E6C09"/>
    <w:multiLevelType w:val="multilevel"/>
    <w:tmpl w:val="E86C268C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FE"/>
    <w:rsid w:val="00044ADA"/>
    <w:rsid w:val="000D56BD"/>
    <w:rsid w:val="00183D5C"/>
    <w:rsid w:val="0024734A"/>
    <w:rsid w:val="00255ACB"/>
    <w:rsid w:val="00310593"/>
    <w:rsid w:val="00482698"/>
    <w:rsid w:val="00635885"/>
    <w:rsid w:val="008A2AA7"/>
    <w:rsid w:val="00BB7F19"/>
    <w:rsid w:val="00C664C8"/>
    <w:rsid w:val="00CA3FFE"/>
    <w:rsid w:val="00D3772F"/>
    <w:rsid w:val="00E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4CD7"/>
  <w15:chartTrackingRefBased/>
  <w15:docId w15:val="{B5AF46A0-5EF4-437D-A83F-4694CE79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F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FFE"/>
  </w:style>
  <w:style w:type="character" w:styleId="a5">
    <w:name w:val="page number"/>
    <w:basedOn w:val="a0"/>
    <w:rsid w:val="00CA3FFE"/>
  </w:style>
  <w:style w:type="paragraph" w:styleId="a6">
    <w:name w:val="footer"/>
    <w:basedOn w:val="a"/>
    <w:link w:val="a7"/>
    <w:uiPriority w:val="99"/>
    <w:unhideWhenUsed/>
    <w:rsid w:val="00BB7F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F19"/>
  </w:style>
  <w:style w:type="paragraph" w:styleId="a8">
    <w:name w:val="List Paragraph"/>
    <w:basedOn w:val="a"/>
    <w:uiPriority w:val="34"/>
    <w:qFormat/>
    <w:rsid w:val="00310593"/>
    <w:pPr>
      <w:ind w:left="720"/>
      <w:contextualSpacing/>
    </w:pPr>
  </w:style>
  <w:style w:type="paragraph" w:styleId="a9">
    <w:name w:val="No Spacing"/>
    <w:uiPriority w:val="1"/>
    <w:qFormat/>
    <w:rsid w:val="00310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15016</Words>
  <Characters>8560</Characters>
  <Application>Microsoft Office Word</Application>
  <DocSecurity>0</DocSecurity>
  <Lines>71</Lines>
  <Paragraphs>47</Paragraphs>
  <ScaleCrop>false</ScaleCrop>
  <Company>SPecialiST RePack</Company>
  <LinksUpToDate>false</LinksUpToDate>
  <CharactersWithSpaces>23529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5</cp:revision>
  <dcterms:created xsi:type="dcterms:W3CDTF">2022-06-27T06:54:00Z</dcterms:created>
  <dcterms:modified xsi:type="dcterms:W3CDTF">2022-07-15T07:59:00Z</dcterms:modified>
</cp:coreProperties>
</file>